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 xml:space="preserve">南京市政府采购</w:t>
      </w:r>
      <w:r/>
    </w:p>
    <w:p>
      <w:pPr>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 xml:space="preserve">公开招标文件</w:t>
      </w:r>
      <w:r/>
    </w:p>
    <w:p>
      <w:pPr>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tbl>
      <w:tblPr>
        <w:tblStyle w:val="783"/>
        <w:tblW w:w="84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6"/>
      </w:tblGrid>
      <w:tr>
        <w:trPr>
          <w:jc w:val="center"/>
          <w:trHeight w:val="1523"/>
        </w:trPr>
        <w:tc>
          <w:tcPr>
            <w:tcW w:w="8446" w:type="dxa"/>
            <w:vAlign w:val="top"/>
            <w:textDirection w:val="lrTb"/>
            <w:noWrap w:val="false"/>
          </w:tcPr>
          <w:p>
            <w:pPr>
              <w:spacing w:line="360" w:lineRule="auto"/>
              <w:shd w:val="clear" w:color="auto" w:fill="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 xml:space="preserve">项目编号：</w:t>
            </w:r>
            <w:r>
              <w:rPr>
                <w:rFonts w:hint="eastAsia" w:ascii="黑体" w:eastAsia="黑体"/>
                <w:color w:val="000000"/>
                <w:sz w:val="36"/>
                <w:szCs w:val="36"/>
                <w:highlight w:val="none"/>
                <w:u w:val="single"/>
                <w:lang w:val="en-US" w:eastAsia="zh-CN"/>
              </w:rPr>
              <w:t xml:space="preserve">JSZC-320100-HXZC-G2025-0079</w:t>
            </w:r>
            <w:r/>
          </w:p>
          <w:p>
            <w:pPr>
              <w:spacing w:line="360" w:lineRule="auto"/>
              <w:shd w:val="clear" w:color="auto" w:fill="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 xml:space="preserve">项目名称：</w:t>
            </w:r>
            <w:r>
              <w:rPr>
                <w:rFonts w:hint="eastAsia" w:ascii="黑体" w:eastAsia="黑体"/>
                <w:color w:val="000000"/>
                <w:sz w:val="36"/>
                <w:szCs w:val="36"/>
                <w:highlight w:val="none"/>
                <w:u w:val="single"/>
                <w:lang w:eastAsia="zh-CN"/>
              </w:rPr>
              <w:t xml:space="preserve">南京市食品药品监督检验院仪器配件耗材采购</w:t>
            </w:r>
            <w:r/>
          </w:p>
          <w:p>
            <w:pPr>
              <w:spacing w:line="360" w:lineRule="auto"/>
              <w:shd w:val="clear" w:color="auto" w:fill="auto"/>
              <w:rPr>
                <w:rFonts w:hint="eastAsia" w:ascii="黑体" w:eastAsia="黑体"/>
                <w:color w:val="000000"/>
                <w:sz w:val="36"/>
                <w:szCs w:val="36"/>
                <w:highlight w:val="none"/>
                <w:lang w:eastAsia="zh-CN"/>
              </w:rPr>
              <w:outlineLvl w:val="0"/>
            </w:pPr>
            <w:r>
              <w:rPr>
                <w:rFonts w:hint="eastAsia" w:ascii="黑体" w:eastAsia="黑体"/>
                <w:color w:val="000000"/>
                <w:sz w:val="36"/>
                <w:szCs w:val="36"/>
                <w:highlight w:val="none"/>
              </w:rPr>
              <w:t xml:space="preserve">采购单位：</w:t>
            </w:r>
            <w:r>
              <w:rPr>
                <w:rFonts w:hint="eastAsia" w:ascii="黑体" w:hAnsi="黑体" w:eastAsia="黑体" w:cs="黑体"/>
                <w:color w:val="000000"/>
                <w:sz w:val="36"/>
                <w:szCs w:val="36"/>
                <w:highlight w:val="none"/>
                <w:u w:val="single"/>
                <w:lang w:eastAsia="zh-CN"/>
              </w:rPr>
              <w:t xml:space="preserve">南京市食品药品监督检验院</w:t>
            </w:r>
            <w:r/>
          </w:p>
          <w:p>
            <w:pPr>
              <w:spacing w:line="360" w:lineRule="auto"/>
              <w:shd w:val="clear" w:color="auto" w:fill="auto"/>
              <w:rPr>
                <w:rFonts w:hint="eastAsia" w:ascii="黑体" w:eastAsia="黑体"/>
                <w:color w:val="000000"/>
                <w:sz w:val="36"/>
                <w:szCs w:val="36"/>
                <w:highlight w:val="none"/>
              </w:rPr>
            </w:pPr>
            <w:r>
              <w:rPr>
                <w:rFonts w:hint="eastAsia" w:ascii="黑体" w:eastAsia="黑体"/>
                <w:color w:val="000000"/>
                <w:sz w:val="36"/>
                <w:szCs w:val="36"/>
                <w:highlight w:val="none"/>
              </w:rPr>
              <w:t xml:space="preserve">采购类别：</w:t>
            </w:r>
            <w:r>
              <w:rPr>
                <w:rFonts w:hint="eastAsia" w:ascii="黑体" w:eastAsia="黑体"/>
                <w:color w:val="000000"/>
                <w:sz w:val="36"/>
                <w:szCs w:val="36"/>
                <w:highlight w:val="none"/>
                <w:u w:val="single"/>
              </w:rPr>
              <w:t xml:space="preserve">货物类</w:t>
            </w:r>
            <w:r/>
          </w:p>
        </w:tc>
      </w:tr>
    </w:tbl>
    <w:p>
      <w:pPr>
        <w:jc w:val="both"/>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jc w:val="center"/>
        <w:shd w:val="clear" w:color="auto" w:fill="auto"/>
        <w:rPr>
          <w:rFonts w:hint="eastAsia" w:ascii="黑体" w:hAnsi="宋体" w:eastAsia="黑体"/>
          <w:b/>
          <w:bCs/>
          <w:color w:val="000000"/>
          <w:sz w:val="32"/>
          <w:highlight w:val="none"/>
        </w:rPr>
      </w:pPr>
      <w:r>
        <w:rPr>
          <w:rFonts w:hint="eastAsia" w:ascii="黑体" w:eastAsia="黑体"/>
          <w:color w:val="000000"/>
          <w:sz w:val="100"/>
          <w:szCs w:val="100"/>
          <w:highlight w:val="none"/>
        </w:rPr>
        <mc:AlternateContent>
          <mc:Choice Requires="wpg">
            <w:drawing>
              <wp:inline xmlns:wp="http://schemas.openxmlformats.org/drawingml/2006/wordprocessingDrawing" distT="0" distB="0" distL="0" distR="0">
                <wp:extent cx="2402205" cy="25527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2402699" cy="2552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9.1pt;height:201.0pt;mso-wrap-distance-left:0.0pt;mso-wrap-distance-top:0.0pt;mso-wrap-distance-right:0.0pt;mso-wrap-distance-bottom:0.0pt;" stroked="f">
                <v:path textboxrect="0,0,0,0"/>
                <v:imagedata r:id="rId14" o:title=""/>
              </v:shape>
            </w:pict>
          </mc:Fallback>
        </mc:AlternateContent>
      </w:r>
      <w:r/>
    </w:p>
    <w:p>
      <w:pPr>
        <w:shd w:val="clear" w:color="auto" w:fill="auto"/>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jc w:val="center"/>
        <w:spacing w:line="360" w:lineRule="auto"/>
        <w:shd w:val="clear" w:color="auto" w:fill="auto"/>
        <w:rPr>
          <w:rFonts w:hint="eastAsia" w:ascii="黑体" w:hAnsi="黑体" w:eastAsia="黑体" w:cs="黑体"/>
          <w:color w:val="000000"/>
          <w:sz w:val="36"/>
          <w:szCs w:val="36"/>
          <w:highlight w:val="none"/>
        </w:rPr>
        <w:outlineLvl w:val="0"/>
      </w:pPr>
      <w:r>
        <w:rPr>
          <w:rFonts w:hint="eastAsia" w:ascii="黑体" w:hAnsi="黑体" w:eastAsia="黑体" w:cs="黑体"/>
          <w:color w:val="000000"/>
          <w:sz w:val="36"/>
          <w:szCs w:val="36"/>
          <w:highlight w:val="none"/>
        </w:rPr>
        <w:t xml:space="preserve">江苏省华厦工程项目管理有限公司</w:t>
      </w:r>
      <w:r/>
    </w:p>
    <w:p>
      <w:pPr>
        <w:jc w:val="center"/>
        <w:spacing w:line="360" w:lineRule="auto"/>
        <w:shd w:val="clear" w:color="auto" w:fill="auto"/>
        <w:rPr>
          <w:rFonts w:hint="eastAsia" w:ascii="宋体" w:hAnsi="宋体"/>
          <w:b/>
          <w:bCs/>
          <w:color w:val="000000"/>
          <w:sz w:val="36"/>
          <w:szCs w:val="36"/>
          <w:highlight w:val="none"/>
        </w:rPr>
        <w:sectPr>
          <w:headerReference w:type="default" r:id="rId9"/>
          <w:footerReference w:type="default" r:id="rId11"/>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color w:val="000000"/>
          <w:sz w:val="36"/>
          <w:szCs w:val="36"/>
          <w:highlight w:val="none"/>
        </w:rPr>
        <w:t xml:space="preserve">二○二</w:t>
      </w:r>
      <w:r>
        <w:rPr>
          <w:rFonts w:hint="eastAsia" w:ascii="黑体" w:hAnsi="黑体" w:eastAsia="黑体" w:cs="黑体"/>
          <w:color w:val="000000"/>
          <w:sz w:val="36"/>
          <w:szCs w:val="36"/>
          <w:highlight w:val="none"/>
          <w:lang w:val="en-US" w:eastAsia="zh-CN"/>
        </w:rPr>
        <w:t xml:space="preserve">五</w:t>
      </w:r>
      <w:r>
        <w:rPr>
          <w:rFonts w:hint="eastAsia"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eastAsia="zh-CN"/>
        </w:rPr>
        <w:t xml:space="preserve">十二</w:t>
      </w:r>
      <w:r>
        <w:rPr>
          <w:rFonts w:hint="eastAsia" w:ascii="黑体" w:hAnsi="黑体" w:eastAsia="黑体" w:cs="黑体"/>
          <w:color w:val="000000"/>
          <w:sz w:val="36"/>
          <w:szCs w:val="36"/>
          <w:highlight w:val="none"/>
        </w:rPr>
        <w:t xml:space="preserve">月</w:t>
      </w:r>
      <w:r/>
    </w:p>
    <w:p>
      <w:pPr>
        <w:jc w:val="center"/>
        <w:spacing w:before="100" w:beforeAutospacing="1" w:after="100" w:afterAutospacing="1"/>
        <w:shd w:val="clear" w:color="auto" w:fill="auto"/>
        <w:rPr>
          <w:rFonts w:ascii="黑体" w:hAnsi="宋体" w:eastAsia="黑体"/>
          <w:bCs/>
          <w:color w:val="000000"/>
          <w:sz w:val="32"/>
          <w:szCs w:val="32"/>
          <w:highlight w:val="none"/>
        </w:rPr>
      </w:pPr>
      <w:r>
        <w:rPr>
          <w:rFonts w:hint="eastAsia" w:ascii="黑体" w:hAnsi="宋体" w:eastAsia="黑体"/>
          <w:bCs/>
          <w:color w:val="000000"/>
          <w:sz w:val="32"/>
          <w:szCs w:val="32"/>
          <w:highlight w:val="none"/>
        </w:rPr>
        <w:t xml:space="preserve">目  录</w:t>
      </w:r>
      <w:r/>
    </w:p>
    <w:p>
      <w:pPr>
        <w:pStyle w:val="1053"/>
        <w:spacing w:line="480" w:lineRule="auto"/>
        <w:shd w:val="clear" w:color="auto" w:fill="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TOC \o "1-3" \h \z \u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"_Toc381716859"</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bCs/>
          <w:color w:val="000000"/>
          <w:sz w:val="21"/>
          <w:szCs w:val="21"/>
          <w:highlight w:val="none"/>
        </w:rPr>
        <w:t xml:space="preserve">第一章  招标公告</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fldChar w:fldCharType="end"/>
      </w:r>
      <w:r/>
    </w:p>
    <w:p>
      <w:pPr>
        <w:pStyle w:val="1053"/>
        <w:spacing w:line="480" w:lineRule="auto"/>
        <w:shd w:val="clear" w:color="auto" w:fill="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第二</w:t>
      </w:r>
      <w:r>
        <w:rPr>
          <w:rStyle w:val="1085"/>
          <w:rFonts w:hint="eastAsia" w:ascii="宋体" w:hAnsi="宋体" w:eastAsia="宋体"/>
          <w:bCs/>
          <w:color w:val="000000"/>
          <w:sz w:val="21"/>
          <w:szCs w:val="21"/>
          <w:highlight w:val="none"/>
        </w:rPr>
        <w:t xml:space="preserve">章</w:t>
      </w:r>
      <w:r>
        <w:rPr>
          <w:rStyle w:val="1085"/>
          <w:rFonts w:hint="eastAsia" w:ascii="宋体" w:hAnsi="宋体" w:eastAsia="宋体"/>
          <w:color w:val="000000"/>
          <w:sz w:val="21"/>
          <w:szCs w:val="21"/>
          <w:highlight w:val="none"/>
        </w:rPr>
        <w:t xml:space="preserve">  供应商须知</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"_Toc381716861"</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供应商须知前附表</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"_Toc381716862"</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1.总则</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"_Toc381716863"</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2.招标文件构成</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"_Toc381716864"</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3.投标</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"_Toc381716865"</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4.开标、评标与定标</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"_Toc381716866"</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5.签订合同</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"_Toc381716868"</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lang w:val="en-US"/>
        </w:rPr>
        <w:t xml:space="preserve">6</w:t>
      </w:r>
      <w:r>
        <w:rPr>
          <w:rStyle w:val="1085"/>
          <w:rFonts w:hint="eastAsia" w:ascii="宋体" w:hAnsi="宋体" w:eastAsia="宋体"/>
          <w:color w:val="000000"/>
          <w:sz w:val="21"/>
          <w:szCs w:val="21"/>
          <w:highlight w:val="none"/>
        </w:rPr>
        <w:t xml:space="preserve">.询问、质疑、投诉和诚实信用</w:t>
      </w:r>
      <w:r>
        <w:rPr>
          <w:rFonts w:hint="eastAsia" w:ascii="宋体" w:hAnsi="宋体" w:eastAsia="宋体"/>
          <w:color w:val="000000"/>
          <w:sz w:val="21"/>
          <w:szCs w:val="21"/>
          <w:highlight w:val="none"/>
        </w:rPr>
        <w:fldChar w:fldCharType="end"/>
      </w:r>
      <w:r/>
    </w:p>
    <w:p>
      <w:pPr>
        <w:pStyle w:val="1053"/>
        <w:spacing w:line="480" w:lineRule="auto"/>
        <w:shd w:val="clear" w:color="auto" w:fill="auto"/>
        <w:tabs>
          <w:tab w:val="right" w:pos="9060" w:leader="middleDot"/>
        </w:tabs>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"_Toc381716873"</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第三章  纪律和职责</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rPr>
        <w:t xml:space="preserve">1</w:t>
      </w:r>
      <w:r/>
    </w:p>
    <w:p>
      <w:pPr>
        <w:pStyle w:val="1053"/>
        <w:spacing w:line="480" w:lineRule="auto"/>
        <w:shd w:val="clear" w:color="auto" w:fill="auto"/>
        <w:tabs>
          <w:tab w:val="right" w:pos="9060" w:leader="middleDot"/>
        </w:tabs>
        <w:rPr>
          <w:rFonts w:hint="eastAsia" w:eastAsia="宋体"/>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"_Toc381716873"</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第四章  评标标准</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rPr>
        <w:t xml:space="preserve">2</w:t>
      </w:r>
      <w:r/>
    </w:p>
    <w:p>
      <w:pPr>
        <w:pStyle w:val="1053"/>
        <w:spacing w:line="480" w:lineRule="auto"/>
        <w:shd w:val="clear" w:color="auto" w:fill="auto"/>
        <w:tabs>
          <w:tab w:val="right" w:pos="9060" w:leader="middleDot"/>
        </w:tabs>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"_Toc381716885"</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第五章  采购项目需求</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rPr>
        <w:t xml:space="preserve">5</w:t>
      </w:r>
      <w:r/>
    </w:p>
    <w:p>
      <w:pPr>
        <w:pStyle w:val="1053"/>
        <w:spacing w:line="480" w:lineRule="auto"/>
        <w:shd w:val="clear" w:color="auto" w:fill="auto"/>
        <w:tabs>
          <w:tab w:val="right" w:pos="9060" w:leader="middleDot"/>
        </w:tabs>
        <w:rPr>
          <w:rFonts w:hint="eastAsia" w:eastAsia="宋体"/>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"_Toc381716885"</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第六章 </w:t>
      </w:r>
      <w:r>
        <w:rPr>
          <w:rStyle w:val="1085"/>
          <w:rFonts w:hint="eastAsia" w:ascii="宋体" w:hAnsi="宋体" w:eastAsia="宋体"/>
          <w:color w:val="000000"/>
          <w:sz w:val="21"/>
          <w:szCs w:val="21"/>
          <w:highlight w:val="none"/>
          <w:lang w:val="en-US"/>
        </w:rPr>
        <w:t xml:space="preserve"> </w:t>
      </w:r>
      <w:r>
        <w:rPr>
          <w:rStyle w:val="1085"/>
          <w:rFonts w:hint="eastAsia" w:ascii="宋体" w:hAnsi="宋体" w:eastAsia="宋体"/>
          <w:color w:val="000000"/>
          <w:sz w:val="21"/>
          <w:szCs w:val="21"/>
          <w:highlight w:val="none"/>
        </w:rPr>
        <w:t xml:space="preserve">合同主要条款及格式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7</w:t>
      </w:r>
      <w:r/>
    </w:p>
    <w:p>
      <w:pPr>
        <w:pStyle w:val="1053"/>
        <w:spacing w:line="480" w:lineRule="auto"/>
        <w:shd w:val="clear" w:color="auto" w:fill="auto"/>
        <w:tabs>
          <w:tab w:val="right" w:pos="9060" w:leader="middleDot"/>
        </w:tabs>
        <w:rPr>
          <w:rFonts w:hint="eastAsia" w:ascii="宋体" w:hAnsi="宋体" w:eastAsia="宋体"/>
          <w:caps w:val="0"/>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"_Toc381716887"</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第七章  附件</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2</w:t>
      </w:r>
      <w:r/>
    </w:p>
    <w:p>
      <w:pPr>
        <w:pStyle w:val="1053"/>
        <w:spacing w:line="480" w:lineRule="auto"/>
        <w:shd w:val="clear" w:color="auto" w:fill="auto"/>
        <w:tabs>
          <w:tab w:val="right" w:pos="9060" w:leader="middleDot"/>
        </w:tabs>
        <w:rPr>
          <w:rFonts w:hint="eastAsia" w:ascii="宋体" w:hAnsi="宋体" w:eastAsia="宋体"/>
          <w:caps w:val="0"/>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"_Toc381716888"</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第八章  投标文件格式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4</w:t>
      </w:r>
      <w:r/>
    </w:p>
    <w:p>
      <w:pPr>
        <w:jc w:val="center"/>
        <w:spacing w:line="48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1"/>
          <w:szCs w:val="21"/>
          <w:highlight w:val="none"/>
        </w:rPr>
        <w:fldChar w:fldCharType="end"/>
      </w:r>
      <w:r/>
    </w:p>
    <w:p>
      <w:pPr>
        <w:jc w:val="center"/>
        <w:spacing w:line="360" w:lineRule="auto"/>
        <w:shd w:val="clear" w:color="auto" w:fill="auto"/>
        <w:rPr>
          <w:rFonts w:hint="eastAsia" w:ascii="黑体" w:hAnsi="黑体" w:eastAsia="黑体" w:cs="黑体"/>
          <w:color w:val="000000"/>
          <w:sz w:val="32"/>
          <w:szCs w:val="32"/>
          <w:highlight w:val="none"/>
        </w:rPr>
        <w:outlineLvl w:val="0"/>
      </w:pPr>
      <w:r>
        <w:rPr>
          <w:rFonts w:hint="eastAsia" w:ascii="宋体" w:hAnsi="宋体" w:eastAsia="宋体"/>
          <w:color w:val="000000"/>
          <w:sz w:val="24"/>
          <w:szCs w:val="24"/>
          <w:highlight w:val="none"/>
        </w:rPr>
        <w:br w:type="page" w:clear="all"/>
      </w:r>
      <w:r>
        <w:rPr>
          <w:rFonts w:hint="eastAsia" w:ascii="黑体" w:hAnsi="黑体" w:eastAsia="黑体" w:cs="黑体"/>
          <w:color w:val="000000"/>
          <w:sz w:val="32"/>
          <w:szCs w:val="32"/>
          <w:highlight w:val="none"/>
        </w:rPr>
        <w:t xml:space="preserve">第一章  招标公告</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项目概况：</w:t>
      </w:r>
      <w:r/>
    </w:p>
    <w:p>
      <w:pPr>
        <w:pStyle w:val="1028"/>
        <w:ind w:firstLine="422"/>
        <w:spacing w:line="360" w:lineRule="auto"/>
        <w:shd w:val="clear" w:color="auto" w:fill="auto"/>
        <w:rPr>
          <w:rFonts w:hint="eastAsia" w:ascii="宋体" w:hAnsi="宋体" w:cs="宋体"/>
          <w:color w:val="000000"/>
          <w:szCs w:val="21"/>
          <w:highlight w:val="none"/>
        </w:rPr>
      </w:pPr>
      <w:r>
        <w:rPr>
          <w:rFonts w:hint="eastAsia" w:ascii="宋体" w:hAnsi="宋体" w:cs="宋体"/>
          <w:b/>
          <w:bCs/>
          <w:color w:val="000000"/>
          <w:szCs w:val="21"/>
          <w:highlight w:val="none"/>
          <w:u w:val="single"/>
          <w:lang w:eastAsia="zh-CN"/>
        </w:rPr>
        <w:t xml:space="preserve">南京市食品药品监督检验院仪器配件耗材采购</w:t>
      </w:r>
      <w:r>
        <w:rPr>
          <w:rFonts w:hint="eastAsia" w:ascii="宋体" w:hAnsi="宋体" w:cs="宋体"/>
          <w:color w:val="000000"/>
          <w:szCs w:val="21"/>
          <w:highlight w:val="none"/>
        </w:rPr>
        <w:t xml:space="preserve">（项目名称）招标项目的潜在供应商应在</w:t>
      </w:r>
      <w:r>
        <w:rPr>
          <w:rFonts w:hint="eastAsia" w:ascii="宋体" w:hAnsi="宋体" w:cs="宋体"/>
          <w:b/>
          <w:bCs/>
          <w:color w:val="000000"/>
          <w:szCs w:val="21"/>
          <w:highlight w:val="none"/>
          <w:u w:val="single"/>
        </w:rPr>
        <w:t xml:space="preserve">江苏政府采购网“苏采云”系统</w:t>
      </w:r>
      <w:r>
        <w:rPr>
          <w:rFonts w:hint="eastAsia" w:ascii="宋体" w:hAnsi="宋体" w:cs="宋体"/>
          <w:color w:val="000000"/>
          <w:szCs w:val="21"/>
          <w:highlight w:val="none"/>
        </w:rPr>
        <w:t xml:space="preserve">获取招标文件，并于</w:t>
      </w:r>
      <w:r>
        <w:rPr>
          <w:rFonts w:hint="eastAsia" w:ascii="宋体" w:hAnsi="宋体" w:cs="宋体"/>
          <w:b/>
          <w:bCs/>
          <w:color w:val="000000"/>
          <w:szCs w:val="21"/>
          <w:highlight w:val="none"/>
          <w:u w:val="single"/>
        </w:rPr>
        <w:t xml:space="preserve">2025</w:t>
      </w:r>
      <w:r>
        <w:rPr>
          <w:rFonts w:hint="eastAsia" w:ascii="宋体" w:hAnsi="宋体" w:cs="宋体"/>
          <w:b/>
          <w:bCs/>
          <w:color w:val="000000"/>
          <w:szCs w:val="21"/>
          <w:highlight w:val="none"/>
        </w:rPr>
        <w:t xml:space="preserve">年</w:t>
      </w:r>
      <w:r>
        <w:rPr>
          <w:rFonts w:hint="eastAsia" w:ascii="宋体" w:hAnsi="宋体" w:cs="宋体"/>
          <w:b/>
          <w:bCs/>
          <w:color w:val="000000"/>
          <w:szCs w:val="21"/>
          <w:highlight w:val="none"/>
          <w:u w:val="single"/>
          <w:lang w:val="en-US" w:eastAsia="zh-CN"/>
        </w:rPr>
        <w:t xml:space="preserve">12</w:t>
      </w:r>
      <w:r>
        <w:rPr>
          <w:rFonts w:hint="eastAsia" w:ascii="宋体" w:hAnsi="宋体" w:cs="宋体"/>
          <w:b/>
          <w:bCs/>
          <w:color w:val="000000"/>
          <w:szCs w:val="21"/>
          <w:highlight w:val="none"/>
        </w:rPr>
        <w:t xml:space="preserve">月</w:t>
      </w:r>
      <w:r>
        <w:rPr>
          <w:rFonts w:hint="eastAsia" w:ascii="宋体" w:hAnsi="宋体" w:cs="宋体"/>
          <w:b/>
          <w:bCs/>
          <w:color w:val="000000"/>
          <w:szCs w:val="21"/>
          <w:highlight w:val="none"/>
          <w:u w:val="single"/>
          <w:lang w:val="en-US" w:eastAsia="zh-CN"/>
        </w:rPr>
        <w:t xml:space="preserve">30</w:t>
      </w:r>
      <w:r>
        <w:rPr>
          <w:rFonts w:hint="eastAsia" w:ascii="宋体" w:hAnsi="宋体" w:cs="宋体"/>
          <w:b/>
          <w:bCs/>
          <w:color w:val="000000"/>
          <w:szCs w:val="21"/>
          <w:highlight w:val="none"/>
        </w:rPr>
        <w:t xml:space="preserve">日</w:t>
      </w:r>
      <w:r>
        <w:rPr>
          <w:rFonts w:hint="eastAsia" w:ascii="宋体" w:hAnsi="宋体" w:cs="宋体"/>
          <w:b/>
          <w:bCs/>
          <w:color w:val="000000"/>
          <w:szCs w:val="21"/>
          <w:highlight w:val="none"/>
          <w:u w:val="single"/>
        </w:rPr>
        <w:t xml:space="preserve">09</w:t>
      </w:r>
      <w:r>
        <w:rPr>
          <w:rFonts w:hint="eastAsia" w:ascii="宋体" w:hAnsi="宋体" w:cs="宋体"/>
          <w:b/>
          <w:bCs/>
          <w:color w:val="000000"/>
          <w:szCs w:val="21"/>
          <w:highlight w:val="none"/>
        </w:rPr>
        <w:t xml:space="preserve">时</w:t>
      </w:r>
      <w:r>
        <w:rPr>
          <w:rFonts w:hint="eastAsia" w:ascii="宋体" w:hAnsi="宋体" w:cs="宋体"/>
          <w:b/>
          <w:bCs/>
          <w:color w:val="000000"/>
          <w:szCs w:val="21"/>
          <w:highlight w:val="none"/>
          <w:u w:val="single"/>
          <w:lang w:val="en-US" w:eastAsia="zh-CN"/>
        </w:rPr>
        <w:t xml:space="preserve">3</w:t>
      </w:r>
      <w:r>
        <w:rPr>
          <w:rFonts w:hint="eastAsia" w:ascii="宋体" w:hAnsi="宋体" w:cs="宋体"/>
          <w:b/>
          <w:bCs/>
          <w:color w:val="000000"/>
          <w:szCs w:val="21"/>
          <w:highlight w:val="none"/>
          <w:u w:val="single"/>
        </w:rPr>
        <w:t xml:space="preserve">0</w:t>
      </w:r>
      <w:r>
        <w:rPr>
          <w:rFonts w:hint="eastAsia" w:ascii="宋体" w:hAnsi="宋体" w:cs="宋体"/>
          <w:b/>
          <w:bCs/>
          <w:color w:val="000000"/>
          <w:szCs w:val="21"/>
          <w:highlight w:val="none"/>
        </w:rPr>
        <w:t xml:space="preserve">分</w:t>
      </w:r>
      <w:r>
        <w:rPr>
          <w:rFonts w:hint="eastAsia" w:ascii="宋体" w:hAnsi="宋体" w:cs="宋体"/>
          <w:color w:val="000000"/>
          <w:szCs w:val="21"/>
          <w:highlight w:val="none"/>
        </w:rPr>
        <w:t xml:space="preserve">（北京时间）前递交投标文件。</w:t>
      </w:r>
      <w:r/>
    </w:p>
    <w:p>
      <w:pPr>
        <w:ind w:firstLine="422"/>
        <w:spacing w:line="360" w:lineRule="auto"/>
        <w:shd w:val="clear" w:color="auto" w:fill="auto"/>
        <w:rPr>
          <w:rFonts w:hint="eastAsia" w:ascii="宋体" w:hAnsi="宋体" w:eastAsia="宋体"/>
          <w:b/>
          <w:bCs/>
          <w:color w:val="000000"/>
          <w:sz w:val="21"/>
          <w:szCs w:val="21"/>
          <w:highlight w:val="none"/>
        </w:rPr>
      </w:pPr>
      <w:r/>
      <w:bookmarkStart w:id="0" w:name="_Toc28359002"/>
      <w:r/>
      <w:bookmarkStart w:id="1" w:name="_Toc35393790"/>
      <w:r/>
      <w:bookmarkStart w:id="2" w:name="_Toc35393621"/>
      <w:r/>
      <w:bookmarkStart w:id="3" w:name="_Toc28359079"/>
      <w:r/>
      <w:bookmarkStart w:id="4" w:name="_Hlk24379207"/>
      <w:r>
        <w:rPr>
          <w:rFonts w:hint="eastAsia" w:ascii="宋体" w:hAnsi="宋体" w:eastAsia="宋体"/>
          <w:b/>
          <w:bCs/>
          <w:color w:val="000000"/>
          <w:sz w:val="21"/>
          <w:szCs w:val="21"/>
          <w:highlight w:val="none"/>
        </w:rPr>
        <w:t xml:space="preserve">一、项目基本情况</w:t>
      </w:r>
      <w:bookmarkEnd w:id="0"/>
      <w:r/>
      <w:bookmarkEnd w:id="1"/>
      <w:r/>
      <w:bookmarkEnd w:id="2"/>
      <w:r/>
      <w:bookmarkEnd w:id="3"/>
      <w:r>
        <w:rPr>
          <w:rFonts w:hint="eastAsia" w:ascii="宋体" w:hAnsi="宋体" w:eastAsia="宋体"/>
          <w:b/>
          <w:bCs/>
          <w:color w:val="000000"/>
          <w:sz w:val="21"/>
          <w:szCs w:val="21"/>
          <w:highlight w:val="none"/>
        </w:rPr>
        <w:t xml:space="preserve">：</w:t>
      </w:r>
      <w:r/>
    </w:p>
    <w:p>
      <w:pPr>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rPr>
        <w:t xml:space="preserve">1.1</w:t>
      </w: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lang w:eastAsia="zh-CN"/>
        </w:rPr>
        <w:t xml:space="preserve">JSZC-320100-HXZC-G2025-0079</w:t>
      </w:r>
      <w:r/>
    </w:p>
    <w:p>
      <w:pPr>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rPr>
        <w:t xml:space="preserve">1.2</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lang w:eastAsia="zh-CN"/>
        </w:rPr>
        <w:t xml:space="preserve">南京市食品药品监督检验院仪器配件耗材采购</w:t>
      </w:r>
      <w:bookmarkEnd w:id="4"/>
      <w:r/>
      <w:r/>
    </w:p>
    <w:p>
      <w:pPr>
        <w:ind w:firstLine="420"/>
        <w:spacing w:line="360" w:lineRule="auto"/>
        <w:shd w:val="clear" w:color="auto" w:fill="auto"/>
        <w:rPr>
          <w:rFonts w:ascii="宋体" w:hAnsi="宋体" w:eastAsia="宋体"/>
          <w:color w:val="000000"/>
          <w:sz w:val="21"/>
          <w:szCs w:val="21"/>
          <w:highlight w:val="none"/>
          <w:u w:val="single"/>
          <w:lang w:val="en-US"/>
        </w:rPr>
      </w:pPr>
      <w:r>
        <w:rPr>
          <w:rFonts w:hint="eastAsia" w:ascii="宋体" w:hAnsi="宋体" w:eastAsia="宋体"/>
          <w:color w:val="000000"/>
          <w:sz w:val="21"/>
          <w:szCs w:val="21"/>
          <w:highlight w:val="none"/>
          <w:lang w:val="en-US"/>
        </w:rPr>
        <w:t xml:space="preserve">1.3</w:t>
      </w:r>
      <w:r>
        <w:rPr>
          <w:rFonts w:hint="eastAsia" w:ascii="宋体" w:hAnsi="宋体" w:eastAsia="宋体"/>
          <w:color w:val="000000"/>
          <w:sz w:val="21"/>
          <w:szCs w:val="21"/>
          <w:highlight w:val="none"/>
        </w:rPr>
        <w:t xml:space="preserve">项目所属行业：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1.4</w:t>
      </w:r>
      <w:r>
        <w:rPr>
          <w:rFonts w:hint="eastAsia" w:ascii="宋体" w:hAnsi="宋体" w:eastAsia="宋体"/>
          <w:color w:val="000000"/>
          <w:sz w:val="21"/>
          <w:szCs w:val="21"/>
          <w:highlight w:val="none"/>
        </w:rPr>
        <w:t xml:space="preserve">项目预算：</w:t>
      </w:r>
      <w:r>
        <w:rPr>
          <w:rFonts w:hint="eastAsia" w:ascii="宋体" w:hAnsi="宋体" w:eastAsia="宋体"/>
          <w:color w:val="000000"/>
          <w:sz w:val="21"/>
          <w:szCs w:val="21"/>
          <w:highlight w:val="none"/>
          <w:lang w:val="en-US" w:eastAsia="zh-CN"/>
        </w:rPr>
        <w:t xml:space="preserve">160</w:t>
      </w:r>
      <w:r>
        <w:rPr>
          <w:rFonts w:hint="eastAsia" w:ascii="宋体" w:hAnsi="宋体" w:eastAsia="宋体"/>
          <w:color w:val="000000"/>
          <w:sz w:val="21"/>
          <w:szCs w:val="21"/>
          <w:highlight w:val="none"/>
          <w:lang w:val="en-US"/>
        </w:rPr>
        <w:t xml:space="preserve">万元</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1.5</w:t>
      </w:r>
      <w:r>
        <w:rPr>
          <w:rFonts w:hint="eastAsia" w:ascii="宋体" w:hAnsi="宋体" w:eastAsia="宋体"/>
          <w:color w:val="000000"/>
          <w:sz w:val="21"/>
          <w:szCs w:val="21"/>
          <w:highlight w:val="none"/>
        </w:rPr>
        <w:t xml:space="preserve">最高限价：</w:t>
      </w:r>
      <w:r>
        <w:rPr>
          <w:rFonts w:hint="eastAsia" w:ascii="宋体" w:hAnsi="宋体" w:eastAsia="宋体"/>
          <w:color w:val="000000"/>
          <w:sz w:val="21"/>
          <w:szCs w:val="21"/>
          <w:highlight w:val="none"/>
          <w:lang w:val="en-US" w:eastAsia="zh-CN"/>
        </w:rPr>
        <w:t xml:space="preserve">160</w:t>
      </w:r>
      <w:r>
        <w:rPr>
          <w:rFonts w:hint="eastAsia" w:ascii="宋体" w:hAnsi="宋体" w:eastAsia="宋体"/>
          <w:color w:val="000000"/>
          <w:sz w:val="21"/>
          <w:szCs w:val="21"/>
          <w:highlight w:val="none"/>
          <w:lang w:val="en-US"/>
        </w:rPr>
        <w:t xml:space="preserve">万元</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1.6</w:t>
      </w:r>
      <w:r>
        <w:rPr>
          <w:rFonts w:hint="eastAsia" w:ascii="宋体" w:hAnsi="宋体" w:eastAsia="宋体"/>
          <w:color w:val="000000"/>
          <w:sz w:val="21"/>
          <w:szCs w:val="21"/>
          <w:highlight w:val="none"/>
        </w:rPr>
        <w:t xml:space="preserve">采购需求：</w:t>
      </w:r>
      <w:r>
        <w:rPr>
          <w:rFonts w:hint="eastAsia" w:ascii="宋体" w:hAnsi="宋体" w:eastAsia="宋体"/>
          <w:color w:val="000000"/>
          <w:sz w:val="21"/>
          <w:szCs w:val="21"/>
          <w:highlight w:val="none"/>
          <w:lang w:val="en-US"/>
        </w:rPr>
        <w:t xml:space="preserve">本项目为</w:t>
      </w:r>
      <w:r>
        <w:rPr>
          <w:rFonts w:hint="eastAsia" w:ascii="宋体" w:hAnsi="宋体" w:eastAsia="宋体"/>
          <w:color w:val="000000"/>
          <w:sz w:val="21"/>
          <w:szCs w:val="21"/>
          <w:highlight w:val="none"/>
          <w:lang w:val="en-US" w:eastAsia="zh-CN"/>
        </w:rPr>
        <w:t xml:space="preserve">南京市食品药品监督检验院仪器配件耗材采购</w:t>
      </w:r>
      <w:r>
        <w:rPr>
          <w:rFonts w:hint="eastAsia" w:ascii="宋体" w:hAnsi="宋体" w:eastAsia="宋体"/>
          <w:color w:val="000000"/>
          <w:sz w:val="21"/>
          <w:szCs w:val="21"/>
          <w:highlight w:val="none"/>
          <w:lang w:val="en-US"/>
        </w:rPr>
        <w:t xml:space="preserve">（具体采购产品清单详见招标文件采购项目需求部分），项目内容包括但不限于产品设备采购、运输、安装、调试、提供备品备件、专业安装工具直至交付使用通过验收、售后服务等。</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1.7</w:t>
      </w:r>
      <w:r>
        <w:rPr>
          <w:rFonts w:hint="eastAsia" w:ascii="宋体" w:hAnsi="宋体" w:eastAsia="宋体"/>
          <w:color w:val="000000"/>
          <w:sz w:val="21"/>
          <w:szCs w:val="21"/>
          <w:highlight w:val="none"/>
        </w:rPr>
        <w:t xml:space="preserve">合同履行期限：</w:t>
      </w:r>
      <w:r>
        <w:rPr>
          <w:rFonts w:hint="eastAsia" w:ascii="宋体" w:hAnsi="宋体" w:eastAsia="宋体"/>
          <w:color w:val="000000"/>
          <w:sz w:val="21"/>
          <w:szCs w:val="21"/>
          <w:highlight w:val="none"/>
          <w:lang w:val="en-US"/>
        </w:rPr>
        <w:t xml:space="preserve">自</w:t>
      </w:r>
      <w:r>
        <w:rPr>
          <w:rFonts w:hint="eastAsia" w:ascii="宋体" w:hAnsi="宋体" w:eastAsia="宋体"/>
          <w:color w:val="000000"/>
          <w:sz w:val="21"/>
          <w:szCs w:val="21"/>
          <w:highlight w:val="none"/>
          <w:lang w:val="en-US" w:eastAsia="zh-CN"/>
        </w:rPr>
        <w:t xml:space="preserve">双方签订合同后一年</w:t>
      </w:r>
      <w:r>
        <w:rPr>
          <w:rFonts w:hint="eastAsia" w:ascii="宋体" w:hAnsi="宋体" w:eastAsia="宋体"/>
          <w:color w:val="000000"/>
          <w:sz w:val="21"/>
          <w:szCs w:val="21"/>
          <w:highlight w:val="none"/>
          <w:lang w:val="en-US"/>
        </w:rPr>
        <w:t xml:space="preserve">内</w:t>
      </w:r>
      <w:r>
        <w:rPr>
          <w:rFonts w:hint="eastAsia" w:ascii="宋体" w:hAnsi="宋体" w:eastAsia="宋体"/>
          <w:color w:val="000000"/>
          <w:sz w:val="21"/>
          <w:szCs w:val="21"/>
          <w:highlight w:val="none"/>
          <w:lang w:val="en-US" w:eastAsia="zh-CN"/>
        </w:rPr>
        <w:t xml:space="preserve">按采购人要求进行</w:t>
      </w:r>
      <w:r>
        <w:rPr>
          <w:rFonts w:hint="eastAsia" w:ascii="宋体" w:hAnsi="宋体" w:eastAsia="宋体"/>
          <w:color w:val="000000"/>
          <w:sz w:val="21"/>
          <w:szCs w:val="21"/>
          <w:highlight w:val="none"/>
          <w:lang w:val="en-US"/>
        </w:rPr>
        <w:t xml:space="preserve">供货、安装及相关调试工作，通过验收，交付使用。</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1.8</w:t>
      </w:r>
      <w:r>
        <w:rPr>
          <w:rFonts w:hint="eastAsia" w:ascii="宋体" w:hAnsi="宋体" w:eastAsia="宋体"/>
          <w:color w:val="000000"/>
          <w:sz w:val="21"/>
          <w:szCs w:val="21"/>
          <w:highlight w:val="none"/>
        </w:rPr>
        <w:t xml:space="preserve">本项目是否属专门面向中小企业采购项目：否。</w:t>
      </w:r>
      <w:r/>
    </w:p>
    <w:p>
      <w:pPr>
        <w:ind w:firstLine="420"/>
        <w:spacing w:line="360" w:lineRule="auto"/>
        <w:shd w:val="clear" w:color="auto" w:fill="auto"/>
        <w:rPr>
          <w:rFonts w:hint="eastAsia" w:ascii="宋体" w:hAnsi="宋体" w:eastAsia="宋体"/>
          <w:color w:val="000000"/>
          <w:sz w:val="21"/>
          <w:szCs w:val="21"/>
          <w:highlight w:val="none"/>
        </w:rPr>
      </w:pPr>
      <w:r/>
      <w:bookmarkStart w:id="5" w:name="_Toc28359003"/>
      <w:r/>
      <w:bookmarkStart w:id="6" w:name="_Toc28359080"/>
      <w:r/>
      <w:bookmarkStart w:id="7" w:name="_Toc35393622"/>
      <w:r/>
      <w:bookmarkStart w:id="8" w:name="_Toc35393791"/>
      <w:r>
        <w:rPr>
          <w:rFonts w:hint="eastAsia" w:ascii="宋体" w:hAnsi="宋体" w:eastAsia="宋体"/>
          <w:color w:val="000000"/>
          <w:sz w:val="21"/>
          <w:szCs w:val="21"/>
          <w:highlight w:val="none"/>
          <w:lang w:val="en-US"/>
        </w:rPr>
        <w:t xml:space="preserve">1.9</w:t>
      </w:r>
      <w:r>
        <w:rPr>
          <w:rFonts w:hint="eastAsia" w:ascii="宋体" w:hAnsi="宋体" w:eastAsia="宋体"/>
          <w:color w:val="000000"/>
          <w:sz w:val="21"/>
          <w:szCs w:val="21"/>
          <w:highlight w:val="none"/>
        </w:rPr>
        <w:t xml:space="preserve">本项目是否接受联合体投标：否。</w:t>
      </w:r>
      <w:r/>
    </w:p>
    <w:p>
      <w:pPr>
        <w:ind w:firstLine="420"/>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lang w:val="en-US"/>
        </w:rPr>
        <w:t xml:space="preserve">1.10</w:t>
      </w:r>
      <w:r>
        <w:rPr>
          <w:rFonts w:hint="eastAsia" w:ascii="宋体" w:hAnsi="宋体" w:eastAsia="宋体"/>
          <w:color w:val="000000"/>
          <w:sz w:val="21"/>
          <w:szCs w:val="21"/>
          <w:highlight w:val="none"/>
        </w:rPr>
        <w:t xml:space="preserve">本项目是否接受进口产品：</w:t>
      </w:r>
      <w:r>
        <w:rPr>
          <w:rFonts w:hint="eastAsia" w:ascii="宋体" w:hAnsi="宋体" w:eastAsia="宋体"/>
          <w:color w:val="000000"/>
          <w:sz w:val="21"/>
          <w:szCs w:val="21"/>
          <w:highlight w:val="none"/>
          <w:lang w:val="en-US" w:eastAsia="zh-CN"/>
        </w:rPr>
        <w:t xml:space="preserve">否</w:t>
      </w:r>
      <w:r>
        <w:rPr>
          <w:rFonts w:hint="eastAsia" w:ascii="宋体" w:hAnsi="宋体" w:eastAsia="宋体"/>
          <w:color w:val="000000"/>
          <w:sz w:val="21"/>
          <w:szCs w:val="21"/>
          <w:highlight w:val="none"/>
          <w:lang w:val="en-US"/>
        </w:rPr>
        <w:t xml:space="preserve">。</w:t>
      </w:r>
      <w:r/>
    </w:p>
    <w:p>
      <w:pPr>
        <w:numPr>
          <w:ilvl w:val="0"/>
          <w:numId w:val="5"/>
        </w:num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供应商的资格要求</w:t>
      </w:r>
      <w:bookmarkEnd w:id="5"/>
      <w:r/>
      <w:bookmarkEnd w:id="6"/>
      <w:r/>
      <w:bookmarkEnd w:id="7"/>
      <w:r/>
      <w:bookmarkEnd w:id="8"/>
      <w:r>
        <w:rPr>
          <w:rFonts w:hint="eastAsia" w:ascii="宋体" w:hAnsi="宋体" w:eastAsia="宋体"/>
          <w:b/>
          <w:bCs/>
          <w:color w:val="000000"/>
          <w:sz w:val="21"/>
          <w:szCs w:val="21"/>
          <w:highlight w:val="none"/>
        </w:rPr>
        <w:t xml:space="preserve">：</w:t>
      </w:r>
      <w:r/>
    </w:p>
    <w:p>
      <w:pPr>
        <w:numPr>
          <w:ilvl w:val="0"/>
          <w:numId w:val="0"/>
        </w:num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2.1</w:t>
      </w:r>
      <w:r>
        <w:rPr>
          <w:rFonts w:hint="eastAsia" w:ascii="宋体" w:hAnsi="宋体" w:eastAsia="宋体"/>
          <w:color w:val="000000"/>
          <w:sz w:val="21"/>
          <w:szCs w:val="21"/>
          <w:highlight w:val="none"/>
        </w:rPr>
        <w:t xml:space="preserve">满足《中华人民共和国政府采购法》第二十二条规定，即：</w:t>
      </w:r>
      <w:r/>
    </w:p>
    <w:p>
      <w:pPr>
        <w:ind w:firstLine="420"/>
        <w:spacing w:line="360" w:lineRule="auto"/>
        <w:shd w:val="clear" w:color="auto" w:fill="auto"/>
        <w:rPr>
          <w:rFonts w:hint="eastAsia" w:ascii="宋体" w:hAnsi="宋体" w:eastAsia="宋体"/>
          <w:color w:val="000000"/>
          <w:sz w:val="21"/>
          <w:szCs w:val="21"/>
          <w:highlight w:val="none"/>
          <w:lang w:val="en-US"/>
        </w:rPr>
      </w:pPr>
      <w:r/>
      <w:bookmarkStart w:id="9" w:name="_Toc28359004"/>
      <w:r/>
      <w:bookmarkStart w:id="10" w:name="_Toc28359081"/>
      <w:r>
        <w:rPr>
          <w:rFonts w:hint="eastAsia" w:ascii="宋体" w:hAnsi="宋体" w:eastAsia="宋体"/>
          <w:color w:val="000000"/>
          <w:sz w:val="21"/>
          <w:szCs w:val="21"/>
          <w:highlight w:val="none"/>
          <w:lang w:val="en-US"/>
        </w:rPr>
        <w:t xml:space="preserve">（1）具有独立承担民事责任的能力（提供法人或者其他组织的营业执照等证明材料，自然人的身份证明）；</w:t>
      </w:r>
      <w:r/>
    </w:p>
    <w:p>
      <w:pPr>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（2）具有良好的商业信誉和健全的财务会计制度（提供参加本次政府采购活动前经审计的财务报告或银行出具的资信证明或其他会计报表等，成立不满一个月不需提供）；</w:t>
      </w:r>
      <w:r/>
    </w:p>
    <w:p>
      <w:pPr>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（3）具有履行合同所必需的设备和专业技术能力（根据项目需求提供履行合同所必需的设备和专业技术能力的证明材料或相关加盖公章的承诺函）； </w:t>
      </w:r>
      <w:r/>
    </w:p>
    <w:p>
      <w:pPr>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（4）有依法缴纳税收和社会保障资金的良好记录（提供参加本次政府采购活动前六个月内（至少一个月）依法缴纳税收和社会保障资金的相关材料）；</w:t>
      </w:r>
      <w:r/>
    </w:p>
    <w:p>
      <w:pPr>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（5）参加政府采购活动前三年内，在经营活动中没有重大违法记录（提供参加本次政府采购活动前3年内在经营活动中没有重大违法记录的书面声明）；</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（6）法律、行政法规规定的其他条件：无。</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2.2</w:t>
      </w:r>
      <w:r>
        <w:rPr>
          <w:rFonts w:hint="eastAsia" w:ascii="宋体" w:hAnsi="宋体" w:eastAsia="宋体"/>
          <w:color w:val="000000"/>
          <w:sz w:val="21"/>
          <w:szCs w:val="21"/>
          <w:highlight w:val="none"/>
        </w:rPr>
        <w:t xml:space="preserve">落实政府采购政策需满足的资格要求：无。</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2.3</w:t>
      </w:r>
      <w:r>
        <w:rPr>
          <w:rFonts w:hint="eastAsia" w:ascii="宋体" w:hAnsi="宋体" w:eastAsia="宋体"/>
          <w:color w:val="000000"/>
          <w:sz w:val="21"/>
          <w:szCs w:val="21"/>
          <w:highlight w:val="none"/>
        </w:rPr>
        <w:t xml:space="preserve">采购人根据采购项目的特殊要求规定的特定条件：</w:t>
      </w:r>
      <w:r>
        <w:rPr>
          <w:rFonts w:hint="eastAsia" w:ascii="宋体" w:hAnsi="宋体" w:eastAsia="宋体"/>
          <w:color w:val="000000"/>
          <w:sz w:val="21"/>
          <w:szCs w:val="21"/>
          <w:highlight w:val="none"/>
          <w:lang w:val="en-US"/>
        </w:rPr>
        <w:t xml:space="preserve">无。</w:t>
      </w:r>
      <w:r/>
    </w:p>
    <w:p>
      <w:pPr>
        <w:ind w:firstLine="420"/>
        <w:spacing w:line="360" w:lineRule="auto"/>
        <w:shd w:val="clear" w:color="auto" w:fill="auto"/>
        <w:rPr>
          <w:rFonts w:ascii="宋体" w:hAnsi="宋体" w:eastAsia="宋体"/>
          <w:color w:val="000000"/>
          <w:sz w:val="21"/>
          <w:szCs w:val="21"/>
          <w:highlight w:val="none"/>
          <w:lang w:val="en-US"/>
        </w:rPr>
      </w:pPr>
      <w:r/>
      <w:bookmarkStart w:id="11" w:name="_Toc35393792"/>
      <w:r/>
      <w:bookmarkStart w:id="12" w:name="_Toc35393623"/>
      <w:r>
        <w:rPr>
          <w:rFonts w:hint="eastAsia" w:ascii="宋体" w:hAnsi="宋体" w:eastAsia="宋体"/>
          <w:color w:val="000000"/>
          <w:sz w:val="21"/>
          <w:szCs w:val="21"/>
          <w:highlight w:val="none"/>
          <w:lang w:val="en-US"/>
        </w:rPr>
        <w:t xml:space="preserve">2.4本章2.1第（5）条所称重大违法记录，是指供应商因违法经营受到刑事处罚或者责令停产停业、吊销许可证或者执照、较大数额罚款等行政处罚。</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2.5</w:t>
      </w:r>
      <w:r>
        <w:rPr>
          <w:rFonts w:hint="eastAsia" w:ascii="宋体" w:hAnsi="宋体" w:eastAsia="宋体"/>
          <w:color w:val="000000"/>
          <w:sz w:val="21"/>
          <w:szCs w:val="21"/>
          <w:highlight w:val="none"/>
        </w:rPr>
        <w:t xml:space="preserve">供应商单位负责人为同一人或者存在直接控股、管理关系的不同供应商，不得参加本项目的采购活动。</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2.6</w:t>
      </w:r>
      <w:r>
        <w:rPr>
          <w:rFonts w:hint="eastAsia" w:ascii="宋体" w:hAnsi="宋体" w:eastAsia="宋体"/>
          <w:color w:val="000000"/>
          <w:sz w:val="21"/>
          <w:szCs w:val="21"/>
          <w:highlight w:val="none"/>
        </w:rPr>
        <w:t xml:space="preserve">为采购项目提供整体设计、规范编制或者项目管理、监理、检测等服务的供应商，不得再参加该采购项目的其他采购活动。</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2.7</w:t>
      </w:r>
      <w:r>
        <w:rPr>
          <w:rFonts w:hint="eastAsia" w:ascii="宋体" w:hAnsi="宋体" w:eastAsia="宋体"/>
          <w:color w:val="000000"/>
          <w:sz w:val="21"/>
          <w:szCs w:val="21"/>
          <w:highlight w:val="none"/>
        </w:rPr>
        <w:t xml:space="preserve">拒绝列入失信被执行人、重大税收违法案件当事人名单及政府采购严重违法失信行为记录名单的供应商参加本项目的采购活动。采购代理机构将在开标结束后通过“信用中国”网站、“中国政府采购网”网站等渠道查询供应商信用记录并保存。</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三、获取</w:t>
      </w:r>
      <w:bookmarkEnd w:id="9"/>
      <w:r/>
      <w:bookmarkEnd w:id="10"/>
      <w:r/>
      <w:bookmarkEnd w:id="11"/>
      <w:r/>
      <w:bookmarkEnd w:id="12"/>
      <w:r>
        <w:rPr>
          <w:rFonts w:hint="eastAsia" w:ascii="宋体" w:hAnsi="宋体" w:eastAsia="宋体"/>
          <w:b/>
          <w:bCs/>
          <w:color w:val="000000"/>
          <w:sz w:val="21"/>
          <w:szCs w:val="21"/>
          <w:highlight w:val="none"/>
        </w:rPr>
        <w:t xml:space="preserve">招标文件：</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bookmarkStart w:id="13" w:name="_Toc35393793"/>
      <w:r/>
      <w:bookmarkStart w:id="14" w:name="_Toc28359082"/>
      <w:r/>
      <w:bookmarkStart w:id="15" w:name="_Toc28359005"/>
      <w:r/>
      <w:bookmarkStart w:id="16" w:name="_Toc35393624"/>
      <w:r>
        <w:rPr>
          <w:rFonts w:hint="eastAsia" w:ascii="宋体" w:hAnsi="宋体" w:eastAsia="宋体"/>
          <w:color w:val="000000"/>
          <w:sz w:val="21"/>
          <w:szCs w:val="21"/>
          <w:highlight w:val="none"/>
          <w:lang w:val="en-US" w:eastAsia="zh-CN"/>
        </w:rPr>
        <w:t xml:space="preserve">3.1</w:t>
      </w:r>
      <w:r>
        <w:rPr>
          <w:rFonts w:hint="eastAsia" w:ascii="宋体" w:hAnsi="宋体" w:eastAsia="宋体"/>
          <w:color w:val="000000"/>
          <w:sz w:val="21"/>
          <w:szCs w:val="21"/>
          <w:highlight w:val="none"/>
          <w:lang w:val="en-US"/>
        </w:rPr>
        <w:t xml:space="preserve">时间：自招标文件公告发布之日起5个工作日</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3.2</w:t>
      </w:r>
      <w:r>
        <w:rPr>
          <w:rFonts w:hint="eastAsia" w:ascii="宋体" w:hAnsi="宋体" w:eastAsia="宋体"/>
          <w:color w:val="000000"/>
          <w:sz w:val="21"/>
          <w:szCs w:val="21"/>
          <w:highlight w:val="none"/>
          <w:lang w:val="en-US"/>
        </w:rPr>
        <w:t xml:space="preserve">地点：江苏省政府采购交易系统（苏采云）</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3.3</w:t>
      </w:r>
      <w:r>
        <w:rPr>
          <w:rFonts w:hint="eastAsia" w:ascii="宋体" w:hAnsi="宋体" w:eastAsia="宋体"/>
          <w:color w:val="000000"/>
          <w:sz w:val="21"/>
          <w:szCs w:val="21"/>
          <w:highlight w:val="none"/>
          <w:lang w:val="en-US"/>
        </w:rPr>
        <w:t xml:space="preserve">方式：网上下载</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hint="eastAsia" w:ascii="宋体" w:hAnsi="宋体" w:eastAsia="宋体"/>
          <w:color w:val="000000"/>
          <w:highlight w:val="none"/>
          <w:lang w:val="en-US" w:eastAsia="zh-CN"/>
        </w:rPr>
      </w:pPr>
      <w:r>
        <w:rPr>
          <w:rFonts w:hint="eastAsia" w:ascii="宋体" w:hAnsi="宋体" w:eastAsia="宋体"/>
          <w:color w:val="000000"/>
          <w:sz w:val="21"/>
          <w:szCs w:val="21"/>
          <w:highlight w:val="none"/>
          <w:lang w:val="en-US" w:eastAsia="zh-CN"/>
        </w:rPr>
        <w:t xml:space="preserve">3.4</w:t>
      </w:r>
      <w:r>
        <w:rPr>
          <w:rFonts w:hint="eastAsia" w:ascii="宋体" w:hAnsi="宋体" w:eastAsia="宋体"/>
          <w:color w:val="000000"/>
          <w:sz w:val="21"/>
          <w:szCs w:val="21"/>
          <w:highlight w:val="none"/>
          <w:lang w:val="en-US"/>
        </w:rPr>
        <w:t xml:space="preserve">售价：0.00元</w:t>
      </w:r>
      <w:r>
        <w:rPr>
          <w:rFonts w:hint="eastAsia" w:ascii="宋体" w:hAnsi="宋体" w:eastAsia="宋体"/>
          <w:color w:val="000000"/>
          <w:sz w:val="21"/>
          <w:szCs w:val="21"/>
          <w:highlight w:val="none"/>
          <w:lang w:val="en-US" w:eastAsia="zh-CN"/>
        </w:rPr>
        <w:t xml:space="preserve">。</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四、投标</w:t>
      </w:r>
      <w:bookmarkEnd w:id="13"/>
      <w:r/>
      <w:bookmarkEnd w:id="14"/>
      <w:r/>
      <w:bookmarkEnd w:id="15"/>
      <w:r/>
      <w:bookmarkEnd w:id="16"/>
      <w:r>
        <w:rPr>
          <w:rFonts w:hint="eastAsia" w:ascii="宋体" w:hAnsi="宋体" w:eastAsia="宋体"/>
          <w:b/>
          <w:bCs/>
          <w:color w:val="000000"/>
          <w:sz w:val="21"/>
          <w:szCs w:val="21"/>
          <w:highlight w:val="none"/>
        </w:rPr>
        <w:t xml:space="preserve">、开标信息：</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bookmarkStart w:id="17" w:name="_Toc28359007"/>
      <w:r/>
      <w:bookmarkStart w:id="18" w:name="_Toc35393794"/>
      <w:r/>
      <w:bookmarkStart w:id="19" w:name="_Toc35393625"/>
      <w:r/>
      <w:bookmarkStart w:id="20" w:name="_Toc28359084"/>
      <w:r>
        <w:rPr>
          <w:rFonts w:hint="eastAsia" w:ascii="宋体" w:hAnsi="宋体" w:eastAsia="宋体"/>
          <w:color w:val="000000"/>
          <w:sz w:val="21"/>
          <w:szCs w:val="21"/>
          <w:highlight w:val="none"/>
          <w:lang w:val="en-US" w:eastAsia="zh-CN"/>
        </w:rPr>
        <w:t xml:space="preserve">4.1开标时间：</w:t>
      </w:r>
      <w:r>
        <w:rPr>
          <w:rFonts w:hint="eastAsia" w:ascii="宋体" w:hAnsi="宋体" w:eastAsia="宋体"/>
          <w:color w:val="000000"/>
          <w:sz w:val="21"/>
          <w:szCs w:val="21"/>
          <w:highlight w:val="none"/>
          <w:lang w:val="en-US"/>
        </w:rPr>
        <w:t xml:space="preserve">2025</w:t>
      </w:r>
      <w:r>
        <w:rPr>
          <w:rFonts w:hint="eastAsia" w:ascii="宋体" w:hAnsi="宋体" w:eastAsia="宋体"/>
          <w:color w:val="000000"/>
          <w:sz w:val="21"/>
          <w:szCs w:val="21"/>
          <w:highlight w:val="none"/>
          <w:lang w:val="en-US" w:eastAsia="zh-CN"/>
        </w:rPr>
        <w:t xml:space="preserve">年12月30日</w:t>
      </w:r>
      <w:r>
        <w:rPr>
          <w:rFonts w:hint="eastAsia" w:ascii="宋体" w:hAnsi="宋体" w:eastAsia="宋体"/>
          <w:color w:val="000000"/>
          <w:sz w:val="21"/>
          <w:szCs w:val="21"/>
          <w:highlight w:val="none"/>
          <w:lang w:val="en-US"/>
        </w:rPr>
        <w:t xml:space="preserve">09</w:t>
      </w:r>
      <w:r>
        <w:rPr>
          <w:rFonts w:hint="eastAsia" w:ascii="宋体" w:hAnsi="宋体" w:eastAsia="宋体"/>
          <w:color w:val="000000"/>
          <w:sz w:val="21"/>
          <w:szCs w:val="21"/>
          <w:highlight w:val="none"/>
          <w:lang w:val="en-US" w:eastAsia="zh-CN"/>
        </w:rPr>
        <w:t xml:space="preserve">时</w:t>
      </w:r>
      <w:r>
        <w:rPr>
          <w:rFonts w:hint="eastAsia" w:ascii="宋体" w:hAnsi="宋体" w:eastAsia="宋体"/>
          <w:color w:val="000000"/>
          <w:sz w:val="21"/>
          <w:szCs w:val="21"/>
          <w:highlight w:val="none"/>
          <w:lang w:val="en-US"/>
        </w:rPr>
        <w:t xml:space="preserve">30</w:t>
      </w:r>
      <w:r>
        <w:rPr>
          <w:rFonts w:hint="eastAsia" w:ascii="宋体" w:hAnsi="宋体" w:eastAsia="宋体"/>
          <w:color w:val="000000"/>
          <w:sz w:val="21"/>
          <w:szCs w:val="21"/>
          <w:highlight w:val="none"/>
          <w:lang w:val="en-US" w:eastAsia="zh-CN"/>
        </w:rPr>
        <w:t xml:space="preserve">分</w:t>
      </w:r>
      <w:r>
        <w:rPr>
          <w:rFonts w:hint="eastAsia" w:ascii="宋体" w:hAnsi="宋体" w:eastAsia="宋体"/>
          <w:color w:val="000000"/>
          <w:sz w:val="21"/>
          <w:szCs w:val="21"/>
          <w:highlight w:val="none"/>
          <w:lang w:val="en-US"/>
        </w:rPr>
        <w:t xml:space="preserve">（北京时间）</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4.2开标</w:t>
      </w:r>
      <w:r>
        <w:rPr>
          <w:rFonts w:hint="eastAsia" w:ascii="宋体" w:hAnsi="宋体" w:eastAsia="宋体"/>
          <w:color w:val="000000"/>
          <w:sz w:val="21"/>
          <w:szCs w:val="21"/>
          <w:highlight w:val="none"/>
          <w:lang w:val="en-US"/>
        </w:rPr>
        <w:t xml:space="preserve">地点：“苏采云”政府采购交易系统网上开标大厅</w:t>
      </w:r>
      <w:r>
        <w:rPr>
          <w:rFonts w:hint="eastAsia" w:ascii="宋体" w:hAnsi="宋体" w:eastAsia="宋体"/>
          <w:color w:val="000000"/>
          <w:sz w:val="21"/>
          <w:szCs w:val="21"/>
          <w:highlight w:val="none"/>
          <w:lang w:val="en-US" w:eastAsia="zh-CN"/>
        </w:rPr>
        <w:t xml:space="preserve">。</w:t>
      </w:r>
      <w:r/>
    </w:p>
    <w:p>
      <w:pPr>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五、公告期限</w:t>
      </w:r>
      <w:bookmarkEnd w:id="17"/>
      <w:r/>
      <w:bookmarkEnd w:id="18"/>
      <w:r/>
      <w:bookmarkEnd w:id="19"/>
      <w:r/>
      <w:bookmarkEnd w:id="20"/>
      <w:r>
        <w:rPr>
          <w:rFonts w:hint="eastAsia" w:ascii="宋体" w:hAnsi="宋体" w:eastAsia="宋体"/>
          <w:b/>
          <w:bCs/>
          <w:color w:val="000000"/>
          <w:sz w:val="21"/>
          <w:szCs w:val="21"/>
          <w:highlight w:val="none"/>
        </w:rPr>
        <w:t xml:space="preserve">：</w:t>
      </w:r>
      <w:r>
        <w:rPr>
          <w:rFonts w:hint="eastAsia" w:ascii="宋体" w:hAnsi="宋体" w:eastAsia="宋体"/>
          <w:color w:val="000000"/>
          <w:sz w:val="21"/>
          <w:szCs w:val="21"/>
          <w:highlight w:val="none"/>
        </w:rPr>
        <w:t xml:space="preserve">自本公告发布之日起5个工作日。</w:t>
      </w:r>
      <w:r/>
    </w:p>
    <w:p>
      <w:pPr>
        <w:ind w:firstLine="422"/>
        <w:spacing w:line="360" w:lineRule="auto"/>
        <w:shd w:val="clear" w:color="auto" w:fill="auto"/>
        <w:rPr>
          <w:rFonts w:hint="eastAsia" w:ascii="宋体" w:hAnsi="宋体" w:eastAsia="宋体"/>
          <w:b/>
          <w:bCs/>
          <w:color w:val="000000"/>
          <w:sz w:val="21"/>
          <w:szCs w:val="21"/>
          <w:highlight w:val="none"/>
        </w:rPr>
      </w:pPr>
      <w:r/>
      <w:bookmarkStart w:id="21" w:name="_Toc35393626"/>
      <w:r/>
      <w:bookmarkStart w:id="22" w:name="_Toc35393795"/>
      <w:r>
        <w:rPr>
          <w:rFonts w:hint="eastAsia" w:ascii="宋体" w:hAnsi="宋体" w:eastAsia="宋体"/>
          <w:b/>
          <w:bCs/>
          <w:color w:val="000000"/>
          <w:sz w:val="21"/>
          <w:szCs w:val="21"/>
          <w:highlight w:val="none"/>
        </w:rPr>
        <w:t xml:space="preserve">六、其他补充事宜</w:t>
      </w:r>
      <w:bookmarkEnd w:id="21"/>
      <w:r/>
      <w:bookmarkEnd w:id="22"/>
      <w:r>
        <w:rPr>
          <w:rFonts w:hint="eastAsia" w:ascii="宋体" w:hAnsi="宋体" w:eastAsia="宋体"/>
          <w:b/>
          <w:bCs/>
          <w:color w:val="000000"/>
          <w:sz w:val="21"/>
          <w:szCs w:val="21"/>
          <w:highlight w:val="none"/>
        </w:rPr>
        <w:t xml:space="preserve">：</w:t>
      </w:r>
      <w:r/>
    </w:p>
    <w:p>
      <w:pPr>
        <w:ind w:firstLine="420"/>
        <w:spacing w:line="360" w:lineRule="auto"/>
        <w:shd w:val="clear" w:color="auto" w:fill="auto"/>
        <w:rPr>
          <w:rFonts w:hint="eastAsia" w:ascii="宋体" w:hAnsi="宋体" w:eastAsia="宋体"/>
          <w:color w:val="000000"/>
          <w:sz w:val="21"/>
          <w:szCs w:val="21"/>
          <w:highlight w:val="none"/>
          <w:lang w:val="en-US"/>
        </w:rPr>
      </w:pPr>
      <w:r/>
      <w:bookmarkStart w:id="23" w:name="_Toc28359008"/>
      <w:r/>
      <w:bookmarkStart w:id="24" w:name="_Toc28359085"/>
      <w:r/>
      <w:bookmarkStart w:id="25" w:name="_Toc35393796"/>
      <w:r/>
      <w:bookmarkStart w:id="26" w:name="_Toc35393627"/>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1潜在供应商访问政府采购管理交易系统（苏采云）的网络地址和方法：</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（2）“CA数字证书”的获取：供应商需办理CA锁，“苏采云”系统目前仅支持“苏采云”系统下的政务CA，省内各地区办理的“苏采云”系统下的政务CA全省通用。</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（3）“CA数字证书”的办理材料以及供应商操作手册详见：http://jsxcmm.com/help/gys.html。</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（4）潜在供应商访问“苏采云”系统的网络地址和方法：“苏采云”系统的网址：http://jszfcg.jsczt.cn/jszc/login。</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（5）采购文件（后缀名为“.kedt”）、供应商操作手册及政府采购客户端工具也可通过“苏采云”系统--已报名项目--报名详情页面内相应链接进行下载。</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（6）招标代理机构（采购代理机构）将数据电文形式的采购文件加载至“苏采云”系统，供潜在供应商下载或者查阅。    </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（7）苏采云系统使用谷歌浏览器参与不见面开标。</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6.2</w:t>
      </w:r>
      <w:r>
        <w:rPr>
          <w:rFonts w:hint="eastAsia" w:ascii="宋体" w:hAnsi="宋体" w:eastAsia="宋体"/>
          <w:color w:val="000000"/>
          <w:sz w:val="21"/>
          <w:szCs w:val="21"/>
          <w:highlight w:val="none"/>
          <w:lang w:val="en-US"/>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3供应商如确定参加投标，可自行下载采购文件及有关资料，按照《操作手册》进行注册，领取CA和办理电子签章，并按《操作手册》要求制作、上传电子投标文件。</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4政府采购信用承诺：“根据《关于在政府采购活动中推行信用承诺制的通知》宁财购通〔2021〕5号规定，参加南京地区政府采购活动的供应商，应以书面形式向招标人或政府采购代理机构作出信用承诺。信用承诺以《南京市政府采购供应商信用记录表暨信用承诺书》体现。供应商应尽早做好承诺书工作，点击‘南京公共采购信息网’首页（https://njgc.</w:t>
      </w:r>
      <w:r>
        <w:rPr>
          <w:rFonts w:hint="eastAsia" w:ascii="宋体" w:hAnsi="宋体" w:eastAsia="宋体"/>
          <w:color w:val="000000"/>
          <w:sz w:val="21"/>
          <w:szCs w:val="21"/>
          <w:highlight w:val="none"/>
          <w:lang w:val="en-US"/>
        </w:rPr>
        <w:t xml:space="preserve">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电子公章，上传至电子投标文件中，未按要求提供信用记录表的，投标文件将按无效标处理。</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在政府采购资格审查环节，供应商只需提供书面《南京市政府采购供应商信用记录表暨信用承诺书》，即可替代以下证明材料：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（1）符合国家相关规定的财务状况报告；</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（2）依法缴纳税收的证明材料；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（3）依法缴纳社会保障资金的证明材料；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（4）具备履行政府采购合同所必需的设备和专业技术能力的证明材料；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（5）参加政府采购活动前三年内在经营活动中没有重大违法记录的证明材料；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（6）未被列入失信被执行人、重大税收违法失信主体、政府采购严重违法失信行为记录名单的证明材料。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供应商在中标（成交）后，应上述由信用承诺书替代的证明材料（一式</w:t>
      </w:r>
      <w:r>
        <w:rPr>
          <w:rFonts w:hint="eastAsia" w:ascii="宋体" w:hAnsi="宋体" w:eastAsia="宋体"/>
          <w:color w:val="000000"/>
          <w:sz w:val="21"/>
          <w:szCs w:val="21"/>
          <w:highlight w:val="none"/>
          <w:lang w:val="en-US" w:eastAsia="zh-CN"/>
        </w:rPr>
        <w:t xml:space="preserve">贰</w:t>
      </w:r>
      <w:r>
        <w:rPr>
          <w:rFonts w:hint="eastAsia" w:ascii="宋体" w:hAnsi="宋体" w:eastAsia="宋体"/>
          <w:color w:val="000000"/>
          <w:sz w:val="21"/>
          <w:szCs w:val="21"/>
          <w:highlight w:val="none"/>
          <w:lang w:val="en-US"/>
        </w:rPr>
        <w:t xml:space="preserve">份），加盖公章按采购文件要求胶装提交招标人或采购代理机构核验。经核验无误后，由招标人或采购代理机构发出中标（成交）通知书。</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供应商涉及以下情形的，不适用信用承诺，仍须提供上述证明材料：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（1）供应商被列入严重失信主体名单；</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（2）被相关监管部门作出行政处罚且尚在处罚有效期内；</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（3）其他法律、行政法规规定的不适用信用承诺的情形。</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供应商对信用承诺内容的真实性、合法性、有效性负责。如作出虚假信用承诺，视同为“提供虚假材料谋取中标、成交”的违法行为。</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集中现场考察或答疑：采购人不组织，供应商可自行联系采购人。未考察现场或考察工作不详细的供应商中标后，不得以不完全了解现场情况为理由而向采购人提出任何索赔或其他要求，对此采购人不承担任何责任并将不作任何答复。</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投标保证金数额及交纳办法：本项目不收取投标保证金。</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7公告媒体：江苏政府采购网（http://www.ccgp-jiangsu.gov.cn/）、南京公共采购信息网（https://njgc.jfh.com/）。</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七、对本次招标提出询问，请按以下方式联系</w:t>
      </w:r>
      <w:bookmarkEnd w:id="23"/>
      <w:r/>
      <w:bookmarkEnd w:id="24"/>
      <w:r/>
      <w:bookmarkEnd w:id="25"/>
      <w:r/>
      <w:bookmarkEnd w:id="26"/>
      <w:r>
        <w:rPr>
          <w:rFonts w:hint="eastAsia" w:ascii="宋体" w:hAnsi="宋体" w:eastAsia="宋体"/>
          <w:b/>
          <w:bCs/>
          <w:color w:val="000000"/>
          <w:sz w:val="21"/>
          <w:szCs w:val="21"/>
          <w:highlight w:val="none"/>
        </w:rPr>
        <w:t xml:space="preserve">：</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7.1</w:t>
      </w:r>
      <w:r>
        <w:rPr>
          <w:rFonts w:hint="eastAsia" w:ascii="宋体" w:hAnsi="宋体" w:eastAsia="宋体"/>
          <w:color w:val="000000"/>
          <w:sz w:val="21"/>
          <w:szCs w:val="21"/>
          <w:highlight w:val="none"/>
        </w:rPr>
        <w:t xml:space="preserve">采购人信息：</w:t>
      </w:r>
      <w:r/>
    </w:p>
    <w:p>
      <w:pPr>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名称：</w:t>
      </w:r>
      <w:r>
        <w:rPr>
          <w:rFonts w:hint="eastAsia" w:ascii="宋体" w:hAnsi="宋体" w:eastAsia="宋体"/>
          <w:color w:val="000000"/>
          <w:sz w:val="21"/>
          <w:szCs w:val="21"/>
          <w:highlight w:val="none"/>
          <w:lang w:eastAsia="zh-CN"/>
        </w:rPr>
        <w:t xml:space="preserve">南京市食品药品监督检验院</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eastAsia="zh-CN"/>
        </w:rPr>
        <w:t xml:space="preserve">南京市江宁区文芳路199号</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孙先生</w:t>
      </w:r>
      <w:r/>
    </w:p>
    <w:p>
      <w:pPr>
        <w:ind w:firstLine="420"/>
        <w:spacing w:line="360" w:lineRule="auto"/>
        <w:shd w:val="clear" w:color="auto" w:fill="auto"/>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联系方式：</w:t>
      </w:r>
      <w:bookmarkStart w:id="27" w:name="_Toc28359086"/>
      <w:r/>
      <w:bookmarkStart w:id="28" w:name="_Toc28359009"/>
      <w:r>
        <w:rPr>
          <w:rFonts w:hint="eastAsia" w:ascii="宋体" w:hAnsi="宋体" w:eastAsia="宋体"/>
          <w:color w:val="000000"/>
          <w:sz w:val="21"/>
          <w:szCs w:val="21"/>
          <w:highlight w:val="none"/>
          <w:lang w:val="en-US" w:eastAsia="zh-CN"/>
        </w:rPr>
        <w:t xml:space="preserve">025-89636171</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7.2</w:t>
      </w:r>
      <w:r>
        <w:rPr>
          <w:rFonts w:hint="eastAsia" w:ascii="宋体" w:hAnsi="宋体" w:eastAsia="宋体"/>
          <w:color w:val="000000"/>
          <w:sz w:val="21"/>
          <w:szCs w:val="21"/>
          <w:highlight w:val="none"/>
        </w:rPr>
        <w:t xml:space="preserve">采购代理机构信息</w:t>
      </w:r>
      <w:bookmarkEnd w:id="27"/>
      <w:r/>
      <w:bookmarkEnd w:id="28"/>
      <w:r>
        <w:rPr>
          <w:rFonts w:hint="eastAsia" w:ascii="宋体" w:hAnsi="宋体" w:eastAsia="宋体"/>
          <w:color w:val="000000"/>
          <w:sz w:val="21"/>
          <w:szCs w:val="21"/>
          <w:highlight w:val="none"/>
        </w:rPr>
        <w:t xml:space="preserve">：</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名称：江苏省华厦工程项目管理有限公司</w:t>
      </w:r>
      <w:r/>
    </w:p>
    <w:p>
      <w:pPr>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eastAsia="zh-CN"/>
        </w:rPr>
        <w:t xml:space="preserve">南京市鼓楼区汉中门大街309号港湾中心B座6层</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宗工</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联系方式：</w:t>
      </w:r>
      <w:bookmarkStart w:id="29" w:name="_Toc28359010"/>
      <w:r/>
      <w:bookmarkStart w:id="30" w:name="_Toc28359087"/>
      <w:r>
        <w:rPr>
          <w:rFonts w:hint="eastAsia" w:ascii="宋体" w:hAnsi="宋体" w:eastAsia="宋体"/>
          <w:color w:val="000000"/>
          <w:sz w:val="21"/>
          <w:szCs w:val="21"/>
          <w:highlight w:val="none"/>
          <w:lang w:eastAsia="zh-CN"/>
        </w:rPr>
        <w:t xml:space="preserve">15951894337</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7.3</w:t>
      </w:r>
      <w:r>
        <w:rPr>
          <w:rFonts w:hint="eastAsia" w:ascii="宋体" w:hAnsi="宋体" w:eastAsia="宋体"/>
          <w:color w:val="000000"/>
          <w:sz w:val="21"/>
          <w:szCs w:val="21"/>
          <w:highlight w:val="none"/>
        </w:rPr>
        <w:t xml:space="preserve">项目联系方式</w:t>
      </w:r>
      <w:bookmarkEnd w:id="29"/>
      <w:r/>
      <w:bookmarkEnd w:id="30"/>
      <w:r>
        <w:rPr>
          <w:rFonts w:hint="eastAsia" w:ascii="宋体" w:hAnsi="宋体" w:eastAsia="宋体"/>
          <w:color w:val="000000"/>
          <w:sz w:val="21"/>
          <w:szCs w:val="21"/>
          <w:highlight w:val="none"/>
        </w:rPr>
        <w:t xml:space="preserve">：</w:t>
      </w:r>
      <w:r/>
    </w:p>
    <w:p>
      <w:pPr>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项目联系人：</w:t>
      </w:r>
      <w:r>
        <w:rPr>
          <w:rFonts w:hint="eastAsia" w:ascii="宋体" w:hAnsi="宋体" w:eastAsia="宋体"/>
          <w:color w:val="000000"/>
          <w:sz w:val="21"/>
          <w:szCs w:val="21"/>
          <w:highlight w:val="none"/>
          <w:lang w:val="en-US" w:eastAsia="zh-CN"/>
        </w:rPr>
        <w:t xml:space="preserve">宗工</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电话：</w:t>
      </w:r>
      <w:r>
        <w:rPr>
          <w:rFonts w:hint="eastAsia" w:ascii="宋体" w:hAnsi="宋体" w:eastAsia="宋体"/>
          <w:color w:val="000000"/>
          <w:sz w:val="21"/>
          <w:szCs w:val="21"/>
          <w:highlight w:val="none"/>
          <w:lang w:eastAsia="zh-CN"/>
        </w:rPr>
        <w:t xml:space="preserve">15951894337</w:t>
      </w:r>
      <w:r/>
    </w:p>
    <w:p>
      <w:pPr>
        <w:jc w:val="center"/>
        <w:spacing w:line="360" w:lineRule="auto"/>
        <w:shd w:val="clear" w:color="auto" w:fill="auto"/>
        <w:rPr>
          <w:rFonts w:hint="eastAsia" w:ascii="黑体" w:hAnsi="黑体" w:eastAsia="黑体" w:cs="黑体"/>
          <w:bCs/>
          <w:color w:val="000000"/>
          <w:sz w:val="32"/>
          <w:szCs w:val="36"/>
          <w:highlight w:val="none"/>
        </w:rPr>
        <w:outlineLvl w:val="0"/>
      </w:pPr>
      <w:r>
        <w:rPr>
          <w:rFonts w:ascii="宋体" w:hAnsi="宋体"/>
          <w:color w:val="000000"/>
          <w:szCs w:val="21"/>
          <w:highlight w:val="none"/>
        </w:rPr>
        <w:br w:type="page" w:clear="all"/>
      </w:r>
      <w:r>
        <w:rPr>
          <w:rFonts w:hint="eastAsia" w:ascii="黑体" w:hAnsi="黑体" w:eastAsia="黑体" w:cs="黑体"/>
          <w:bCs/>
          <w:color w:val="000000"/>
          <w:sz w:val="32"/>
          <w:szCs w:val="36"/>
          <w:highlight w:val="none"/>
        </w:rPr>
        <w:t xml:space="preserve">第二章  供应商须知</w:t>
      </w:r>
      <w:r/>
    </w:p>
    <w:p>
      <w:pPr>
        <w:jc w:val="center"/>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供应商须知前附表</w:t>
      </w:r>
      <w:r/>
    </w:p>
    <w:tbl>
      <w:tblPr>
        <w:tblStyle w:val="783"/>
        <w:tblW w:w="9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jc w:val="center"/>
        </w:trPr>
        <w:tc>
          <w:tcPr>
            <w:tcW w:w="720" w:type="dxa"/>
            <w:vAlign w:val="center"/>
            <w:textDirection w:val="lrTb"/>
            <w:noWrap w:val="false"/>
          </w:tcPr>
          <w:p>
            <w:pPr>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p>
        </w:tc>
        <w:tc>
          <w:tcPr>
            <w:tcW w:w="2151" w:type="dxa"/>
            <w:vAlign w:val="center"/>
            <w:textDirection w:val="lrTb"/>
            <w:noWrap w:val="false"/>
          </w:tcPr>
          <w:p>
            <w:pPr>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名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称</w:t>
            </w:r>
            <w:r/>
          </w:p>
        </w:tc>
        <w:tc>
          <w:tcPr>
            <w:tcW w:w="6960" w:type="dxa"/>
            <w:vAlign w:val="center"/>
            <w:textDirection w:val="lrTb"/>
            <w:noWrap w:val="false"/>
          </w:tcPr>
          <w:p>
            <w:pPr>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内  容</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w:t>
            </w:r>
            <w:r/>
          </w:p>
        </w:tc>
        <w:tc>
          <w:tcPr>
            <w:tcW w:w="6960" w:type="dxa"/>
            <w:vAlign w:val="top"/>
            <w:textDirection w:val="lrTb"/>
            <w:noWrap w:val="false"/>
          </w:tcPr>
          <w:p>
            <w:pPr>
              <w:ind w:firstLine="0"/>
              <w:jc w:val="left"/>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名称：</w:t>
            </w:r>
            <w:r>
              <w:rPr>
                <w:rFonts w:hint="eastAsia" w:ascii="宋体" w:hAnsi="宋体" w:eastAsia="宋体"/>
                <w:color w:val="000000"/>
                <w:sz w:val="21"/>
                <w:szCs w:val="21"/>
                <w:highlight w:val="none"/>
                <w:lang w:eastAsia="zh-CN"/>
              </w:rPr>
              <w:t xml:space="preserve">南京市食品药品监督检验院</w:t>
            </w:r>
            <w:r/>
          </w:p>
          <w:p>
            <w:pPr>
              <w:ind w:firstLine="0"/>
              <w:jc w:val="left"/>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eastAsia="zh-CN"/>
              </w:rPr>
              <w:t xml:space="preserve">南京市江宁区文芳路199号</w:t>
            </w:r>
            <w:r/>
          </w:p>
          <w:p>
            <w:pPr>
              <w:ind w:firstLine="0"/>
              <w:jc w:val="left"/>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孙先生</w:t>
            </w:r>
            <w:r/>
          </w:p>
          <w:p>
            <w:pPr>
              <w:ind w:firstLine="0"/>
              <w:jc w:val="left"/>
              <w:spacing w:line="360" w:lineRule="auto"/>
              <w:shd w:val="clear" w:color="auto" w:fill="auto"/>
              <w:widowControl/>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联系方式：</w:t>
            </w:r>
            <w:r>
              <w:rPr>
                <w:rFonts w:hint="eastAsia" w:ascii="宋体" w:hAnsi="宋体" w:eastAsia="宋体"/>
                <w:color w:val="000000"/>
                <w:sz w:val="21"/>
                <w:szCs w:val="21"/>
                <w:highlight w:val="none"/>
                <w:lang w:val="en-US" w:eastAsia="zh-CN"/>
              </w:rPr>
              <w:t xml:space="preserve">025-89636171</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采购代理机构</w:t>
            </w:r>
            <w:r/>
          </w:p>
        </w:tc>
        <w:tc>
          <w:tcPr>
            <w:tcW w:w="6960" w:type="dxa"/>
            <w:vAlign w:val="center"/>
            <w:textDirection w:val="lrTb"/>
            <w:noWrap w:val="false"/>
          </w:tcPr>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名称：江苏省华厦工程项目管理有限公司</w:t>
            </w:r>
            <w:r/>
          </w:p>
          <w:p>
            <w:pPr>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eastAsia="zh-CN"/>
              </w:rPr>
              <w:t xml:space="preserve">南京市鼓楼区汉中门大街309号港湾中心B座6层</w:t>
            </w:r>
            <w:r/>
          </w:p>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宗工</w:t>
            </w:r>
            <w:r>
              <w:rPr>
                <w:rFonts w:hint="eastAsia" w:ascii="宋体" w:hAnsi="宋体" w:eastAsia="宋体"/>
                <w:color w:val="000000"/>
                <w:sz w:val="21"/>
                <w:szCs w:val="21"/>
                <w:highlight w:val="none"/>
              </w:rPr>
              <w:t xml:space="preserve">  </w:t>
            </w:r>
            <w:r/>
          </w:p>
          <w:p>
            <w:pPr>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联系方式：</w:t>
            </w:r>
            <w:r>
              <w:rPr>
                <w:rFonts w:hint="eastAsia" w:ascii="宋体" w:hAnsi="宋体" w:eastAsia="宋体"/>
                <w:color w:val="000000"/>
                <w:sz w:val="21"/>
                <w:szCs w:val="21"/>
                <w:highlight w:val="none"/>
                <w:lang w:eastAsia="zh-CN"/>
              </w:rPr>
              <w:t xml:space="preserve">15951894337</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采购项目名称</w:t>
            </w:r>
            <w:r/>
          </w:p>
        </w:tc>
        <w:tc>
          <w:tcPr>
            <w:tcW w:w="6960" w:type="dxa"/>
            <w:vAlign w:val="center"/>
            <w:textDirection w:val="lrTb"/>
            <w:noWrap w:val="false"/>
          </w:tcPr>
          <w:p>
            <w:pPr>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南京市食品药品监督检验院仪器配件耗材采购</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项目实施地点</w:t>
            </w:r>
            <w:r/>
          </w:p>
        </w:tc>
        <w:tc>
          <w:tcPr>
            <w:tcW w:w="6960" w:type="dxa"/>
            <w:vAlign w:val="center"/>
            <w:textDirection w:val="lrTb"/>
            <w:noWrap w:val="false"/>
          </w:tcPr>
          <w:p>
            <w:pPr>
              <w:spacing w:line="360" w:lineRule="auto"/>
              <w:shd w:val="clear" w:color="auto" w:fill="auto"/>
              <w:widowControl/>
              <w:rPr>
                <w:rFonts w:hint="eastAsia" w:ascii="宋体" w:hAnsi="宋体" w:eastAsia="宋体"/>
                <w:b/>
                <w:color w:val="000000"/>
                <w:sz w:val="21"/>
                <w:szCs w:val="21"/>
                <w:highlight w:val="none"/>
                <w:lang w:val="en-US"/>
              </w:rPr>
            </w:pPr>
            <w:r>
              <w:rPr>
                <w:rFonts w:hint="eastAsia" w:ascii="宋体" w:hAnsi="宋体" w:eastAsia="宋体"/>
                <w:color w:val="000000"/>
                <w:sz w:val="21"/>
                <w:szCs w:val="21"/>
                <w:highlight w:val="none"/>
              </w:rPr>
              <w:t xml:space="preserve">南京市</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资金来源</w:t>
            </w:r>
            <w:r/>
          </w:p>
        </w:tc>
        <w:tc>
          <w:tcPr>
            <w:tcW w:w="6960" w:type="dxa"/>
            <w:vAlign w:val="center"/>
            <w:textDirection w:val="lrTb"/>
            <w:noWrap w:val="false"/>
          </w:tcPr>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财政资金</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评审方法</w:t>
            </w:r>
            <w:r/>
          </w:p>
        </w:tc>
        <w:tc>
          <w:tcPr>
            <w:tcW w:w="6960" w:type="dxa"/>
            <w:vAlign w:val="center"/>
            <w:textDirection w:val="lrTb"/>
            <w:noWrap w:val="false"/>
          </w:tcPr>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综合评分法</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投标有效期</w:t>
            </w:r>
            <w:r/>
          </w:p>
        </w:tc>
        <w:tc>
          <w:tcPr>
            <w:tcW w:w="6960" w:type="dxa"/>
            <w:vAlign w:val="center"/>
            <w:textDirection w:val="lrTb"/>
            <w:noWrap w:val="false"/>
          </w:tcPr>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提交投标文件截止之日起</w:t>
            </w:r>
            <w:r>
              <w:rPr>
                <w:rFonts w:hint="eastAsia" w:ascii="宋体" w:hAnsi="宋体" w:eastAsia="宋体"/>
                <w:color w:val="000000"/>
                <w:sz w:val="21"/>
                <w:szCs w:val="21"/>
                <w:highlight w:val="none"/>
                <w:lang w:val="en-US"/>
              </w:rPr>
              <w:t xml:space="preserve">90</w:t>
            </w:r>
            <w:r>
              <w:rPr>
                <w:rFonts w:hint="eastAsia" w:ascii="宋体" w:hAnsi="宋体" w:eastAsia="宋体"/>
                <w:color w:val="000000"/>
                <w:sz w:val="21"/>
                <w:szCs w:val="21"/>
                <w:highlight w:val="none"/>
              </w:rPr>
              <w:t xml:space="preserve">日（供应商应承诺投标有效期不少于</w:t>
            </w:r>
            <w:r>
              <w:rPr>
                <w:rFonts w:hint="eastAsia" w:ascii="宋体" w:hAnsi="宋体" w:eastAsia="宋体"/>
                <w:color w:val="000000"/>
                <w:sz w:val="21"/>
                <w:szCs w:val="21"/>
                <w:highlight w:val="none"/>
                <w:lang w:val="en-US"/>
              </w:rPr>
              <w:t xml:space="preserve">90日</w:t>
            </w:r>
            <w:r>
              <w:rPr>
                <w:rFonts w:hint="eastAsia" w:ascii="宋体" w:hAnsi="宋体" w:eastAsia="宋体"/>
                <w:color w:val="000000"/>
                <w:sz w:val="21"/>
                <w:szCs w:val="21"/>
                <w:highlight w:val="none"/>
              </w:rPr>
              <w:t xml:space="preserve">）</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供应商企业信用信息</w:t>
            </w:r>
            <w:r/>
          </w:p>
        </w:tc>
        <w:tc>
          <w:tcPr>
            <w:tcW w:w="6960" w:type="dxa"/>
            <w:vAlign w:val="center"/>
            <w:textDirection w:val="lrTb"/>
            <w:noWrap w:val="false"/>
          </w:tcPr>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）查询人：采购代理机构；</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）查询渠道：“信用中国”网站（www.creditchina.gov.cn）、“中国政府采购网”网站（www.ccgp.gov.cn）；</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）查询时间：开标结束后；</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）查询记录留存方式：由采购代理机构负责将供应商各网站信用记录截图打印保存，并作为本项目档案资料留存；</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）查询结果处理：</w:t>
            </w:r>
            <w:r>
              <w:rPr>
                <w:rFonts w:hint="eastAsia" w:ascii="仿宋" w:hAnsi="仿宋" w:eastAsia="仿宋" w:cs="仿宋"/>
                <w:color w:val="000000"/>
                <w:sz w:val="21"/>
                <w:szCs w:val="21"/>
                <w:highlight w:val="none"/>
              </w:rPr>
              <w:t xml:space="preserve">对具有违法失信记录的供应商作无效投标处理。</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投标文件拒收情形</w:t>
            </w:r>
            <w:r/>
          </w:p>
        </w:tc>
        <w:tc>
          <w:tcPr>
            <w:tcW w:w="6960" w:type="dxa"/>
            <w:vAlign w:val="center"/>
            <w:textDirection w:val="lrTb"/>
            <w:noWrap w:val="false"/>
          </w:tcPr>
          <w:p>
            <w:pPr>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采购代理机构拒绝接收投标截止时间后上传的任何投标文件。</w:t>
            </w:r>
            <w:r/>
          </w:p>
        </w:tc>
      </w:tr>
      <w:tr>
        <w:trPr>
          <w:jc w:val="center"/>
        </w:trPr>
        <w:tc>
          <w:tcPr>
            <w:tcW w:w="720" w:type="dxa"/>
            <w:vAlign w:val="center"/>
            <w:textDirection w:val="lrTb"/>
            <w:noWrap w:val="false"/>
          </w:tcPr>
          <w:p>
            <w:pPr>
              <w:jc w:val="center"/>
              <w:spacing w:line="360" w:lineRule="auto"/>
              <w:shd w:val="clear" w:color="auto" w:fill="auto"/>
              <w:widowControl/>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投标无效情形</w:t>
            </w:r>
            <w:r/>
          </w:p>
        </w:tc>
        <w:tc>
          <w:tcPr>
            <w:tcW w:w="6960" w:type="dxa"/>
            <w:vAlign w:val="center"/>
            <w:textDirection w:val="lrTb"/>
            <w:noWrap w:val="false"/>
          </w:tcPr>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（1）供应商在苏采云系统规定的时间内未成功解密电子投标文件；</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）供应商未按照招标文件要求上传电子投标文件；</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）投标文件未按照招标文件要求加盖电子公章；</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）投标文件中未逐一说明投标产品名称、品牌、规格型号、产地、技术参数和服务响应，而是直接拷贝招标文件采购项目需求的；</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）不同供应商的投标文件由同一单位或者个人编制；</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）不同供应商委托同一单位或者个人办理投标事宜；</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rPr>
              <w:t xml:space="preserve">）不同供应商的投标文件载明的项目管理成员或者联系人员为同一人；</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rPr>
              <w:t xml:space="preserve">）不同供应商的投标文件异常一致或者投标报价呈规律性差异；</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rPr>
              <w:t xml:space="preserve">）不同供应商的单位负责人为同一人或者供应商之间存在直接控股、管理关系的；</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0</w:t>
            </w:r>
            <w:r>
              <w:rPr>
                <w:rFonts w:hint="eastAsia" w:ascii="仿宋" w:hAnsi="仿宋" w:eastAsia="仿宋" w:cs="仿宋"/>
                <w:color w:val="000000"/>
                <w:sz w:val="21"/>
                <w:szCs w:val="21"/>
                <w:highlight w:val="none"/>
              </w:rPr>
              <w:t xml:space="preserve">）报价超过招标文件中规定的预算金额或者最高限价的；</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）投标文件含有采购人不能接受的附加条件的；</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）投标文件不符合招标文件规定的其他实质性要求的；</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）法律、法规和招标文件规定的其他无效情形。</w:t>
            </w:r>
            <w:r/>
          </w:p>
        </w:tc>
      </w:tr>
      <w:tr>
        <w:trPr>
          <w:jc w:val="center"/>
        </w:trPr>
        <w:tc>
          <w:tcPr>
            <w:tcW w:w="720" w:type="dxa"/>
            <w:vAlign w:val="center"/>
            <w:textDirection w:val="lrTb"/>
            <w:noWrap w:val="false"/>
          </w:tcPr>
          <w:p>
            <w:pPr>
              <w:jc w:val="center"/>
              <w:spacing w:line="360" w:lineRule="auto"/>
              <w:shd w:val="clear" w:color="auto" w:fill="auto"/>
              <w:widowControl/>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废标情形</w:t>
            </w:r>
            <w:r/>
          </w:p>
        </w:tc>
        <w:tc>
          <w:tcPr>
            <w:tcW w:w="6960" w:type="dxa"/>
            <w:vAlign w:val="center"/>
            <w:textDirection w:val="lrTb"/>
            <w:noWrap w:val="false"/>
          </w:tcPr>
          <w:p>
            <w:pPr>
              <w:jc w:val="left"/>
              <w:spacing w:line="360" w:lineRule="auto"/>
              <w:shd w:val="clear" w:color="auto" w:fil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（1）符合资格条件的供应商或者对招标文件作实质性响应的供应商不足三家的；</w:t>
            </w:r>
            <w:r/>
          </w:p>
          <w:p>
            <w:pPr>
              <w:jc w:val="left"/>
              <w:spacing w:line="360" w:lineRule="auto"/>
              <w:shd w:val="clear" w:color="auto" w:fil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（2）出现影响采购公正的违法、违规行为的；</w:t>
            </w:r>
            <w:r/>
          </w:p>
          <w:p>
            <w:pPr>
              <w:jc w:val="left"/>
              <w:spacing w:line="360" w:lineRule="auto"/>
              <w:shd w:val="clear" w:color="auto" w:fil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（3）因重大变故，采购任务取消的；</w:t>
            </w:r>
            <w:r/>
          </w:p>
          <w:p>
            <w:pPr>
              <w:jc w:val="left"/>
              <w:spacing w:line="360" w:lineRule="auto"/>
              <w:shd w:val="clear" w:color="auto" w:fill="auto"/>
              <w:rPr>
                <w:rFonts w:hint="eastAsia" w:ascii="宋体" w:hAnsi="宋体" w:eastAsia="宋体"/>
                <w:color w:val="000000"/>
                <w:sz w:val="21"/>
                <w:szCs w:val="21"/>
                <w:highlight w:val="none"/>
              </w:rPr>
            </w:pPr>
            <w:r>
              <w:rPr>
                <w:rFonts w:hint="eastAsia" w:ascii="仿宋" w:hAnsi="仿宋" w:eastAsia="仿宋" w:cs="仿宋"/>
                <w:color w:val="000000"/>
                <w:sz w:val="21"/>
                <w:szCs w:val="21"/>
                <w:highlight w:val="none"/>
              </w:rPr>
              <w:t xml:space="preserve">（4）因苏采云系统故障造成开标不成功。</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w:t>
            </w:r>
            <w:r/>
          </w:p>
        </w:tc>
        <w:tc>
          <w:tcPr>
            <w:tcW w:w="2151"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相同品牌产品</w:t>
            </w:r>
            <w:r/>
          </w:p>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投标要求</w:t>
            </w:r>
            <w:r/>
          </w:p>
        </w:tc>
        <w:tc>
          <w:tcPr>
            <w:tcW w:w="6960" w:type="dxa"/>
            <w:vAlign w:val="center"/>
            <w:textDirection w:val="lrTb"/>
            <w:noWrap w:val="false"/>
          </w:tcPr>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（2）采用最低评标价法的采购项目：提供相同品牌产品的不同供应商参加本项目投标的，以其中通过资格审查、符合性审查且报价最低的参加评标；报价相同的，由采购人或者采购人委托评标委员会</w:t>
            </w:r>
            <w:r>
              <w:rPr>
                <w:rFonts w:hint="eastAsia" w:ascii="宋体" w:hAnsi="宋体" w:eastAsia="宋体"/>
                <w:color w:val="000000"/>
                <w:sz w:val="21"/>
                <w:szCs w:val="21"/>
                <w:highlight w:val="none"/>
              </w:rPr>
              <w:t xml:space="preserve">按照随机抽取的方式</w:t>
            </w:r>
            <w:r>
              <w:rPr>
                <w:rFonts w:hint="eastAsia" w:ascii="宋体" w:hAnsi="宋体" w:eastAsia="宋体"/>
                <w:color w:val="000000"/>
                <w:sz w:val="21"/>
                <w:szCs w:val="21"/>
                <w:highlight w:val="none"/>
                <w:lang w:val="en-US"/>
              </w:rPr>
              <w:t xml:space="preserve">确定一个参加评标的供应商，其他投标无效；</w:t>
            </w:r>
            <w:r/>
          </w:p>
          <w:p>
            <w:pP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（3）非单一产品采购项目，以提供的核心产品品牌为准，核心产品详见第五章采购项目需求。多家供应商提供的核心产品品牌相同的，按前两款规定处理；</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（4）如有四家</w:t>
            </w:r>
            <w:r>
              <w:rPr>
                <w:rFonts w:hint="eastAsia" w:ascii="宋体" w:hAnsi="宋体" w:eastAsia="宋体"/>
                <w:color w:val="000000"/>
                <w:sz w:val="21"/>
                <w:szCs w:val="21"/>
                <w:highlight w:val="none"/>
              </w:rPr>
              <w:t xml:space="preserve">通过资格性审查、符合性审查的不同</w:t>
            </w:r>
            <w:r>
              <w:rPr>
                <w:rFonts w:hint="eastAsia" w:ascii="宋体" w:hAnsi="宋体" w:eastAsia="宋体"/>
                <w:color w:val="000000"/>
                <w:sz w:val="21"/>
                <w:szCs w:val="21"/>
                <w:highlight w:val="none"/>
                <w:lang w:val="en-US"/>
              </w:rPr>
              <w:t xml:space="preserve">供应商参与投标，有三家供应商所投产品（核心产品）均为同一品牌的，则实际投标产品品牌仅有两个，故有效供应商仅有两家，即实质性响应招标文件的供应商不足三家，项目废标。</w:t>
            </w:r>
            <w:r/>
          </w:p>
        </w:tc>
      </w:tr>
    </w:tbl>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br w:type="page" w:clear="all"/>
      </w:r>
      <w:r>
        <w:rPr>
          <w:rFonts w:hint="eastAsia" w:ascii="宋体" w:hAnsi="宋体" w:eastAsia="宋体"/>
          <w:b/>
          <w:bCs/>
          <w:color w:val="000000"/>
          <w:sz w:val="21"/>
          <w:szCs w:val="21"/>
          <w:highlight w:val="none"/>
        </w:rPr>
        <w:t xml:space="preserve">一、总   则</w:t>
      </w:r>
      <w:r/>
    </w:p>
    <w:p>
      <w:pPr>
        <w:ind w:firstLine="210"/>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rPr>
        <w:t xml:space="preserve"> 1、适用法律</w:t>
      </w:r>
      <w:r/>
    </w:p>
    <w:p>
      <w:pPr>
        <w:ind w:firstLine="21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1.1本次招标适用《中华人民共和国政府采购法》、《中华人民共和国政府采购法实施条例》、《政府采购货物和服务招标投标管理办法》等法律、行政法规、部门规章和规范性文件。</w:t>
      </w:r>
      <w:r/>
    </w:p>
    <w:p>
      <w:pPr>
        <w:ind w:firstLine="211"/>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  2、定义</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2.1“采购人”是指依法进行政府采购的国家机关、事业单位、团体组织。</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2.2“供应商”是指参加投标竞争，并符合招标文件规定资格条件的法人、其他组织或者自然人。</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2.4“货物”指本招标文件中所述产品。</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2.5“用户或使用单位”是指使用货物的单位。</w:t>
      </w:r>
      <w:r/>
    </w:p>
    <w:p>
      <w:pPr>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3、政策功能</w:t>
      </w:r>
      <w:r/>
    </w:p>
    <w:p>
      <w:pPr>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rPr>
        <w:t xml:space="preserve">  </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3.</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中小企业政策</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1）政府采购促进中小企业发展，在政府采购活动中，供应商提供的货物符合下列情形的，享受中小企业扶持政策：货物由中小企业制造，即货物由中小企业生产且使用该中小企业商号或者注册商标。供应商提供的货物既有中小企业制造货物，也有大型企业制造货物的，不享受中小企业扶持政策。</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2）中小企业供应商参加政府采购活动的，应当出具《中小企业声明函》（格式详见招标文件附件），否则不享受相关中小企业扶持政策。除此之外，供应商无需提供《中小企业声明函》之外的中小企业身份证明文件。</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3）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lang w:val="en-US"/>
        </w:rPr>
        <w:t xml:space="preserve">3.4</w:t>
      </w:r>
      <w:r>
        <w:rPr>
          <w:rFonts w:hint="eastAsia" w:ascii="宋体" w:hAnsi="宋体" w:eastAsia="宋体"/>
          <w:bCs/>
          <w:color w:val="000000"/>
          <w:sz w:val="21"/>
          <w:szCs w:val="21"/>
          <w:highlight w:val="none"/>
        </w:rPr>
        <w:t xml:space="preserve">节能产品政策</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）节能产品是指列入财政部、国家发展和改革委员会制定的《节能产品政府采购品目清单》，且经过认定的节能产品，依据品目清单和认证证书实施政府优先采购和强制采购。</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2</w:t>
      </w:r>
      <w:r>
        <w:rPr>
          <w:rFonts w:hint="eastAsia" w:ascii="宋体" w:hAnsi="宋体" w:eastAsia="宋体"/>
          <w:bCs/>
          <w:color w:val="000000"/>
          <w:sz w:val="21"/>
          <w:szCs w:val="21"/>
          <w:highlight w:val="none"/>
        </w:rPr>
        <w:t xml:space="preserve">）采购人拟采购的产品属于《节能产品政府采购品目清单》所列产品的，供应商应当选择依据国家标准中二级能效（水效）指标认证的节能产品进行投标，并提供国家确定的认证机构出具的、处于有效期之内的节能产品认证证书复印件。</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3</w:t>
      </w:r>
      <w:r>
        <w:rPr>
          <w:rFonts w:hint="eastAsia" w:ascii="宋体" w:hAnsi="宋体" w:eastAsia="宋体"/>
          <w:bCs/>
          <w:color w:val="000000"/>
          <w:sz w:val="21"/>
          <w:szCs w:val="21"/>
          <w:highlight w:val="none"/>
        </w:rPr>
        <w:t xml:space="preserve">）供应商提供的产品属于《节能产品政府采购品目清单》所列非政府强制采购产品的，在性能、技术、服务等指标同等条件下，实行优先采购，优先采购的评审标准详见本招标文件第四章评标说明。</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4</w:t>
      </w:r>
      <w:r>
        <w:rPr>
          <w:rFonts w:hint="eastAsia" w:ascii="宋体" w:hAnsi="宋体" w:eastAsia="宋体"/>
          <w:bCs/>
          <w:color w:val="000000"/>
          <w:sz w:val="21"/>
          <w:szCs w:val="21"/>
          <w:highlight w:val="none"/>
        </w:rPr>
        <w:t xml:space="preserve">）采购人拟采购的产品属于《节能产品政府采购品目清单》所列政府强制采购产品的，供应商提供的产品则必须为列入《节能产品政府采购品目清单》的政府强制采购产品，实行强制采购，否则投标无效。</w:t>
      </w:r>
      <w:r/>
    </w:p>
    <w:p>
      <w:pPr>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lang w:val="en-US"/>
        </w:rPr>
        <w:t xml:space="preserve">    3.5</w:t>
      </w:r>
      <w:r>
        <w:rPr>
          <w:rFonts w:hint="eastAsia" w:ascii="宋体" w:hAnsi="宋体" w:eastAsia="宋体"/>
          <w:bCs/>
          <w:color w:val="000000"/>
          <w:sz w:val="21"/>
          <w:szCs w:val="21"/>
          <w:highlight w:val="none"/>
        </w:rPr>
        <w:t xml:space="preserve">环境标志产品政策</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）环境标志产品是指列入财政部、生态环境部制定的《环境标志产品政府采购品目清单》，且依据相关标准的最新版本认证的环境标志产品，依据品目清单和认证证书实施政府优先采购。</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2</w:t>
      </w:r>
      <w:r>
        <w:rPr>
          <w:rFonts w:hint="eastAsia" w:ascii="宋体" w:hAnsi="宋体" w:eastAsia="宋体"/>
          <w:bCs/>
          <w:color w:val="000000"/>
          <w:sz w:val="21"/>
          <w:szCs w:val="21"/>
          <w:highlight w:val="none"/>
        </w:rPr>
        <w:t xml:space="preserve">）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复印件。</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3</w:t>
      </w:r>
      <w:r>
        <w:rPr>
          <w:rFonts w:hint="eastAsia" w:ascii="宋体" w:hAnsi="宋体" w:eastAsia="宋体"/>
          <w:bCs/>
          <w:color w:val="000000"/>
          <w:sz w:val="21"/>
          <w:szCs w:val="21"/>
          <w:highlight w:val="none"/>
        </w:rPr>
        <w:t xml:space="preserve">）供应商提供的产品属于《环境标志产品政府采购品目清单》所列产品的，在性能、技术、服务等指标同等条件下，实行优先采购，优先采购的评审标准详见本招标文件第四章评标说明。</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3.6信息安全产品政策</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（1）信息安全产品是指列入国家质检总局、国家认监委《信息安全产品强制性认证目录》，并获得强制性产品认证证书的产品。</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（2）供应商提供的产品属于信息安全产品的，应当选择经国家认证的信息安全产品投标，并提供由国家信息安全认证中心按国家标准认证颁发的有效认证证书。</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lang w:val="en-US"/>
        </w:rPr>
        <w:t xml:space="preserve">3.7</w:t>
      </w:r>
      <w:r>
        <w:rPr>
          <w:rFonts w:hint="eastAsia" w:ascii="宋体" w:hAnsi="宋体" w:eastAsia="宋体"/>
          <w:bCs/>
          <w:color w:val="000000"/>
          <w:sz w:val="21"/>
          <w:szCs w:val="21"/>
          <w:highlight w:val="none"/>
        </w:rPr>
        <w:t xml:space="preserve">进口产品政策</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（2）允许进口产品参加的，满足需求的国内产品可以参加。</w:t>
      </w:r>
      <w:r/>
    </w:p>
    <w:p>
      <w:pPr>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 </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3.8未按要求提供相关材料的，不享受相关政策。</w:t>
      </w:r>
      <w:r/>
    </w:p>
    <w:p>
      <w:pPr>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4、招标文件的约束力</w:t>
      </w:r>
      <w:r/>
    </w:p>
    <w:p>
      <w:pPr>
        <w:ind w:firstLine="21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4.1供应商一旦</w:t>
      </w:r>
      <w:r>
        <w:rPr>
          <w:rFonts w:hint="eastAsia" w:ascii="宋体" w:hAnsi="宋体" w:eastAsia="宋体"/>
          <w:color w:val="000000"/>
          <w:sz w:val="21"/>
          <w:szCs w:val="21"/>
          <w:highlight w:val="none"/>
          <w:lang w:val="en-US" w:eastAsia="zh-CN"/>
        </w:rPr>
        <w:t xml:space="preserve">下载</w:t>
      </w:r>
      <w:r>
        <w:rPr>
          <w:rFonts w:hint="eastAsia" w:ascii="宋体" w:hAnsi="宋体" w:eastAsia="宋体"/>
          <w:color w:val="000000"/>
          <w:sz w:val="21"/>
          <w:szCs w:val="21"/>
          <w:highlight w:val="none"/>
        </w:rPr>
        <w:t xml:space="preserve">了本招标文件并参加投标，即被认为接受了本招标文件中的所有条件和规定。</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4.2</w:t>
      </w:r>
      <w:r>
        <w:rPr>
          <w:rFonts w:hint="eastAsia" w:ascii="宋体" w:hAnsi="宋体" w:eastAsia="宋体"/>
          <w:color w:val="000000"/>
          <w:sz w:val="21"/>
          <w:szCs w:val="21"/>
          <w:highlight w:val="none"/>
        </w:rPr>
        <w:t xml:space="preserve">招标文件中要求的产品品牌或型号，是采购人根据项目所要实现的功能推荐的品牌或型号，仅供供应商参考，并不是限制条件。</w:t>
      </w:r>
      <w:r/>
    </w:p>
    <w:p>
      <w:pPr>
        <w:ind w:firstLine="422"/>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二、招标文件构成</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5、招标文件组成</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5.1招标公告</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5.2</w:t>
      </w:r>
      <w:r>
        <w:rPr>
          <w:rFonts w:hint="eastAsia" w:ascii="宋体" w:hAnsi="宋体" w:eastAsia="宋体"/>
          <w:color w:val="000000"/>
          <w:sz w:val="21"/>
          <w:szCs w:val="21"/>
          <w:highlight w:val="none"/>
        </w:rPr>
        <w:t xml:space="preserve">供应商须知</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5.3</w:t>
      </w:r>
      <w:r>
        <w:rPr>
          <w:rFonts w:hint="eastAsia" w:ascii="宋体" w:hAnsi="宋体" w:eastAsia="宋体"/>
          <w:color w:val="000000"/>
          <w:sz w:val="21"/>
          <w:szCs w:val="21"/>
          <w:highlight w:val="none"/>
        </w:rPr>
        <w:t xml:space="preserve">评标标准</w:t>
      </w:r>
      <w:r/>
    </w:p>
    <w:p>
      <w:pPr>
        <w:ind w:firstLine="420"/>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5.4纪律和职责</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5.5</w:t>
      </w:r>
      <w:r>
        <w:rPr>
          <w:rFonts w:hint="eastAsia" w:ascii="宋体" w:hAnsi="宋体" w:eastAsia="宋体"/>
          <w:color w:val="000000"/>
          <w:sz w:val="21"/>
          <w:szCs w:val="21"/>
          <w:highlight w:val="none"/>
        </w:rPr>
        <w:t xml:space="preserve">采购项目需求</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5.6</w:t>
      </w:r>
      <w:r>
        <w:rPr>
          <w:rFonts w:hint="eastAsia" w:ascii="宋体" w:hAnsi="宋体" w:eastAsia="宋体"/>
          <w:color w:val="000000"/>
          <w:sz w:val="21"/>
          <w:szCs w:val="21"/>
          <w:highlight w:val="none"/>
        </w:rPr>
        <w:t xml:space="preserve">合同主要条款及格式</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5.7</w:t>
      </w:r>
      <w:r>
        <w:rPr>
          <w:rFonts w:hint="eastAsia" w:ascii="宋体" w:hAnsi="宋体" w:eastAsia="宋体"/>
          <w:color w:val="000000"/>
          <w:sz w:val="21"/>
          <w:szCs w:val="21"/>
          <w:highlight w:val="none"/>
        </w:rPr>
        <w:t xml:space="preserve">附件</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5.8</w:t>
      </w:r>
      <w:r>
        <w:rPr>
          <w:rFonts w:hint="eastAsia" w:ascii="宋体" w:hAnsi="宋体" w:eastAsia="宋体"/>
          <w:color w:val="000000"/>
          <w:sz w:val="21"/>
          <w:szCs w:val="21"/>
          <w:highlight w:val="none"/>
        </w:rPr>
        <w:t xml:space="preserve">投标文件格式</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6、招标文件的澄清或者修改</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1采购人或者采购代理机构可以对已发出的招标文件、招标公告进行必要的澄清或者修改，但不得改变采购标的和资格条件。澄清或者修改应当在原公告发布媒体上发布更正公告。更正内容将作为招标文件的组成部分，并对</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具有约束力。</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.3采购代理机构有权按照法律法规的要求推迟投标截止日期和开标日期，并在原公告媒体发布更正公告。</w:t>
      </w:r>
      <w:r/>
    </w:p>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三、投标</w:t>
      </w:r>
      <w:r/>
    </w:p>
    <w:p>
      <w:pPr>
        <w:ind w:firstLine="211"/>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7、投标文件的语言、计量单位、货币</w:t>
      </w:r>
      <w:r/>
    </w:p>
    <w:p>
      <w:pPr>
        <w:ind w:firstLine="21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7.1供应商提交的投标文件、技术文件和资料，包括相关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21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7.2供应商所使用的计量单位应为国家法定计量单位。</w:t>
      </w:r>
      <w:r/>
    </w:p>
    <w:p>
      <w:pPr>
        <w:ind w:firstLine="21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7.3供应商应用人民币报价，招标文件另有约定的除外。</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7.4供应商</w:t>
      </w:r>
      <w:r>
        <w:rPr>
          <w:rFonts w:hint="eastAsia" w:ascii="宋体" w:hAnsi="宋体" w:eastAsia="宋体"/>
          <w:bCs/>
          <w:color w:val="000000"/>
          <w:sz w:val="21"/>
          <w:szCs w:val="21"/>
          <w:highlight w:val="none"/>
        </w:rPr>
        <w:t xml:space="preserve">投标产品如果是进口产品的，应提供人民币与外币之间的汇率</w:t>
      </w:r>
      <w:r>
        <w:rPr>
          <w:rFonts w:hint="eastAsia" w:ascii="宋体" w:hAnsi="宋体" w:eastAsia="宋体"/>
          <w:color w:val="000000"/>
          <w:sz w:val="21"/>
          <w:szCs w:val="21"/>
          <w:highlight w:val="none"/>
        </w:rPr>
        <w:t xml:space="preserve">。</w:t>
      </w:r>
      <w:r/>
    </w:p>
    <w:p>
      <w:pPr>
        <w:ind w:firstLine="210"/>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rPr>
        <w:t xml:space="preserve"> 8、联合体投标（如本项目接受联合体投标的，联合体各方须满足以下要求）</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8.1</w:t>
      </w:r>
      <w:r>
        <w:rPr>
          <w:rFonts w:hint="eastAsia" w:ascii="宋体" w:hAnsi="宋体" w:eastAsia="宋体"/>
          <w:color w:val="000000"/>
          <w:sz w:val="21"/>
          <w:szCs w:val="21"/>
          <w:highlight w:val="none"/>
        </w:rPr>
        <w:t xml:space="preserve">两个以上的自然人、法人或者其他组织可以组成一个联合体，以一个供应商的身份共同参加政府采购。</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8.2</w:t>
      </w:r>
      <w:r>
        <w:rPr>
          <w:rFonts w:hint="eastAsia" w:ascii="宋体" w:hAnsi="宋体" w:eastAsia="宋体"/>
          <w:color w:val="000000"/>
          <w:sz w:val="21"/>
          <w:szCs w:val="21"/>
          <w:highlight w:val="none"/>
        </w:rPr>
        <w:t xml:space="preserve">联合体中有同类资质的供应商按照联合体分工承担相同工作的，按照资质等级较低的供应商确定资质等级。</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8.3</w:t>
      </w:r>
      <w:r>
        <w:rPr>
          <w:rFonts w:hint="eastAsia" w:ascii="宋体" w:hAnsi="宋体" w:eastAsia="宋体"/>
          <w:color w:val="000000"/>
          <w:sz w:val="21"/>
          <w:szCs w:val="21"/>
          <w:highlight w:val="none"/>
        </w:rPr>
        <w:t xml:space="preserve">联合体各方之间应当签订联合体协议，明确约定联合体各方承担的工作和相应的责任，并将联合体协议连同投标文件一同提交。</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8.4</w:t>
      </w:r>
      <w:r>
        <w:rPr>
          <w:rFonts w:hint="eastAsia" w:ascii="宋体" w:hAnsi="宋体" w:eastAsia="宋体"/>
          <w:color w:val="000000"/>
          <w:sz w:val="21"/>
          <w:szCs w:val="21"/>
          <w:highlight w:val="none"/>
        </w:rPr>
        <w:t xml:space="preserve">以联合体形式参加政府采购活动的，联合体各方不得再单独参加或者与其他供应商另外组成联合体参加同一合同项下的政府采购活动。</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9、投标费用</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9.1供应商应承担所有与准备和参加投标有关的费用，无论采购结果如何，采购代理机构和采购人在任何情况下均无义务和责任承担这些费用。</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.2本次采购招标代理服务费由中标供应商按照中标金额的</w:t>
      </w:r>
      <w:r>
        <w:rPr>
          <w:rFonts w:hint="eastAsia" w:ascii="宋体" w:hAnsi="宋体" w:eastAsia="宋体"/>
          <w:color w:val="000000"/>
          <w:sz w:val="21"/>
          <w:szCs w:val="21"/>
          <w:highlight w:val="none"/>
          <w:lang w:val="en-US" w:eastAsia="zh-CN"/>
        </w:rPr>
        <w:t xml:space="preserve">65</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rPr>
        <w:t xml:space="preserve">计算</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等比例</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支付给采购代理机构，请供应商予以关注并核算到总报价中。</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9</w:t>
      </w:r>
      <w:r>
        <w:rPr>
          <w:rFonts w:hint="eastAsia" w:ascii="宋体" w:hAnsi="宋体" w:eastAsia="宋体"/>
          <w:color w:val="000000"/>
          <w:sz w:val="21"/>
          <w:szCs w:val="21"/>
          <w:highlight w:val="none"/>
        </w:rPr>
        <w:t xml:space="preserve">.3本次采购招标代理服务费由中标供应商在领取中标通知书时结算。</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 10</w:t>
      </w:r>
      <w:r>
        <w:rPr>
          <w:rFonts w:hint="eastAsia" w:ascii="宋体" w:hAnsi="宋体" w:eastAsia="宋体"/>
          <w:b/>
          <w:bCs/>
          <w:color w:val="000000"/>
          <w:sz w:val="21"/>
          <w:szCs w:val="21"/>
          <w:highlight w:val="none"/>
        </w:rPr>
        <w:t xml:space="preserve">、投标文件组成</w:t>
      </w:r>
      <w:r/>
    </w:p>
    <w:p>
      <w:pPr>
        <w:spacing w:line="360" w:lineRule="auto"/>
        <w:shd w:val="clear" w:color="auto" w:fill="auto"/>
        <w:widowControl/>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10.1供应商应当根据招标文件要求编制投标文件，投标文件应对招标文件提出的要求和条件作出实质性响应，并在《商务条款偏离表》和《技术条款偏离表》等处逐条标明满足与否。</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bCs/>
          <w:color w:val="000000"/>
          <w:sz w:val="21"/>
          <w:szCs w:val="21"/>
          <w:highlight w:val="none"/>
        </w:rPr>
        <w:t xml:space="preserve"> </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 10.2</w:t>
      </w:r>
      <w:r>
        <w:rPr>
          <w:rFonts w:hint="eastAsia" w:ascii="宋体" w:hAnsi="宋体" w:eastAsia="宋体"/>
          <w:color w:val="000000"/>
          <w:sz w:val="21"/>
          <w:szCs w:val="21"/>
          <w:highlight w:val="none"/>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10.3投标文件由商务部分、技术部分、价格部分以及其他部分组成。</w:t>
      </w:r>
      <w:r/>
    </w:p>
    <w:p>
      <w:pPr>
        <w:ind w:firstLine="420"/>
        <w:spacing w:line="360" w:lineRule="auto"/>
        <w:shd w:val="clear" w:color="auto" w:fill="auto"/>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lang w:val="en-US" w:eastAsia="zh-CN"/>
        </w:rPr>
        <w:t xml:space="preserve">10</w:t>
      </w:r>
      <w:r>
        <w:rPr>
          <w:rFonts w:hint="eastAsia" w:ascii="宋体" w:hAnsi="宋体" w:eastAsia="宋体"/>
          <w:b w:val="0"/>
          <w:bCs/>
          <w:color w:val="000000"/>
          <w:sz w:val="21"/>
          <w:szCs w:val="21"/>
          <w:highlight w:val="none"/>
        </w:rPr>
        <w:t xml:space="preserve">.</w:t>
      </w:r>
      <w:r>
        <w:rPr>
          <w:rFonts w:hint="eastAsia" w:ascii="宋体" w:hAnsi="宋体" w:eastAsia="宋体"/>
          <w:b w:val="0"/>
          <w:bCs/>
          <w:color w:val="000000"/>
          <w:sz w:val="21"/>
          <w:szCs w:val="21"/>
          <w:highlight w:val="none"/>
          <w:lang w:val="en-US" w:eastAsia="zh-CN"/>
        </w:rPr>
        <w:t xml:space="preserve">4</w:t>
      </w:r>
      <w:r>
        <w:rPr>
          <w:rFonts w:hint="eastAsia" w:ascii="宋体" w:hAnsi="宋体" w:eastAsia="宋体"/>
          <w:b w:val="0"/>
          <w:bCs/>
          <w:color w:val="000000"/>
          <w:sz w:val="21"/>
          <w:szCs w:val="21"/>
          <w:highlight w:val="none"/>
        </w:rPr>
        <w:t xml:space="preserve">如标书制作工具中格式和内容与“江苏政府采购网”发布的招标文件不一致，以“江苏政府采购网”发布的招标文件为准。</w:t>
      </w:r>
      <w:r/>
    </w:p>
    <w:p>
      <w:pPr>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 11、投标文件的商务部分</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color w:val="000000"/>
          <w:sz w:val="21"/>
          <w:szCs w:val="21"/>
          <w:highlight w:val="none"/>
        </w:rPr>
        <w:t xml:space="preserve">（加“※”项不得有缺失</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否则作</w:t>
      </w:r>
      <w:r>
        <w:rPr>
          <w:rFonts w:hint="eastAsia" w:ascii="仿宋" w:hAnsi="仿宋" w:eastAsia="仿宋" w:cs="仿宋"/>
          <w:b/>
          <w:bCs/>
          <w:color w:val="000000"/>
          <w:sz w:val="21"/>
          <w:szCs w:val="21"/>
          <w:highlight w:val="none"/>
        </w:rPr>
        <w:t xml:space="preserve">无效</w:t>
      </w:r>
      <w:r>
        <w:rPr>
          <w:rFonts w:hint="eastAsia" w:ascii="仿宋" w:hAnsi="仿宋" w:eastAsia="仿宋" w:cs="仿宋"/>
          <w:b/>
          <w:bCs/>
          <w:color w:val="000000"/>
          <w:sz w:val="21"/>
          <w:szCs w:val="21"/>
          <w:highlight w:val="none"/>
          <w:lang w:val="en-US" w:eastAsia="zh-CN"/>
        </w:rPr>
        <w:t xml:space="preserve">投标处理</w:t>
      </w:r>
      <w:r>
        <w:rPr>
          <w:rFonts w:hint="eastAsia" w:ascii="仿宋" w:hAnsi="仿宋" w:eastAsia="仿宋" w:cs="仿宋"/>
          <w:b/>
          <w:bCs/>
          <w:color w:val="000000"/>
          <w:sz w:val="21"/>
          <w:szCs w:val="21"/>
          <w:highlight w:val="none"/>
        </w:rPr>
        <w:t xml:space="preserve">）：</w:t>
      </w:r>
      <w:r/>
    </w:p>
    <w:p>
      <w:pPr>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仿宋" w:hAnsi="仿宋" w:eastAsia="仿宋" w:cs="仿宋"/>
          <w:b/>
          <w:bCs/>
          <w:color w:val="000000"/>
          <w:sz w:val="21"/>
          <w:szCs w:val="21"/>
          <w:highlight w:val="none"/>
        </w:rPr>
        <w:t xml:space="preserve">（1）※投标函（投标申请及声明）；</w:t>
      </w:r>
      <w:r/>
    </w:p>
    <w:p>
      <w:pPr>
        <w:spacing w:line="360" w:lineRule="auto"/>
        <w:shd w:val="clear" w:color="auto" w:fill="auto"/>
        <w:widowControl/>
        <w:rPr>
          <w:rFonts w:hint="eastAsia" w:ascii="宋体" w:hAnsi="宋体" w:eastAsia="仿宋"/>
          <w:b/>
          <w:bCs/>
          <w:color w:val="000000"/>
          <w:sz w:val="21"/>
          <w:szCs w:val="21"/>
          <w:highlight w:val="none"/>
          <w:lang w:eastAsia="zh-CN"/>
        </w:rPr>
        <w:outlineLvl w:val="9"/>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 （2）※法定代表人授权委托书及委托代理人的身份证明文件的复印件；</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授</w:t>
      </w:r>
      <w:r>
        <w:rPr>
          <w:rFonts w:hint="eastAsia" w:ascii="仿宋" w:hAnsi="仿宋" w:eastAsia="仿宋" w:cs="仿宋"/>
          <w:b/>
          <w:bCs/>
          <w:color w:val="000000"/>
          <w:sz w:val="21"/>
          <w:szCs w:val="21"/>
          <w:highlight w:val="none"/>
          <w:lang w:eastAsia="zh-CN"/>
        </w:rPr>
        <w:t xml:space="preserve">权代表要为本单位在职职工，</w:t>
      </w:r>
      <w:r>
        <w:rPr>
          <w:rFonts w:hint="eastAsia" w:ascii="仿宋" w:hAnsi="仿宋" w:eastAsia="仿宋" w:cs="仿宋"/>
          <w:b/>
          <w:bCs/>
          <w:color w:val="000000"/>
          <w:sz w:val="21"/>
          <w:szCs w:val="21"/>
          <w:highlight w:val="none"/>
          <w:lang w:val="en-US" w:eastAsia="zh-CN"/>
        </w:rPr>
        <w:t xml:space="preserve">供应商需提供</w:t>
      </w:r>
      <w:r>
        <w:rPr>
          <w:rFonts w:hint="eastAsia" w:ascii="仿宋" w:hAnsi="仿宋" w:eastAsia="仿宋" w:cs="仿宋"/>
          <w:b/>
          <w:bCs/>
          <w:color w:val="000000"/>
          <w:sz w:val="21"/>
          <w:szCs w:val="21"/>
          <w:highlight w:val="none"/>
          <w:lang w:eastAsia="zh-CN"/>
        </w:rPr>
        <w:t xml:space="preserve">参加</w:t>
      </w:r>
      <w:r>
        <w:rPr>
          <w:rFonts w:hint="eastAsia" w:ascii="仿宋" w:hAnsi="仿宋" w:eastAsia="仿宋" w:cs="仿宋"/>
          <w:b/>
          <w:bCs/>
          <w:color w:val="000000"/>
          <w:sz w:val="21"/>
          <w:szCs w:val="21"/>
          <w:highlight w:val="none"/>
          <w:lang w:val="en-US" w:eastAsia="zh-CN"/>
        </w:rPr>
        <w:t xml:space="preserve">本次</w:t>
      </w:r>
      <w:r>
        <w:rPr>
          <w:rFonts w:hint="eastAsia" w:ascii="仿宋" w:hAnsi="仿宋" w:eastAsia="仿宋" w:cs="仿宋"/>
          <w:b/>
          <w:bCs/>
          <w:color w:val="000000"/>
          <w:sz w:val="21"/>
          <w:szCs w:val="21"/>
          <w:highlight w:val="none"/>
          <w:lang w:eastAsia="zh-CN"/>
        </w:rPr>
        <w:t xml:space="preserve">采购活动前三个月内</w:t>
      </w:r>
      <w:r>
        <w:rPr>
          <w:rFonts w:hint="eastAsia" w:ascii="仿宋" w:hAnsi="仿宋" w:eastAsia="仿宋" w:cs="仿宋"/>
          <w:b/>
          <w:bCs/>
          <w:color w:val="000000"/>
          <w:sz w:val="21"/>
          <w:szCs w:val="21"/>
          <w:highlight w:val="none"/>
          <w:lang w:val="en-US" w:eastAsia="zh-CN"/>
        </w:rPr>
        <w:t xml:space="preserve">任意</w:t>
      </w:r>
      <w:r>
        <w:rPr>
          <w:rFonts w:hint="eastAsia" w:ascii="仿宋" w:hAnsi="仿宋" w:eastAsia="仿宋" w:cs="仿宋"/>
          <w:b/>
          <w:bCs/>
          <w:color w:val="000000"/>
          <w:sz w:val="21"/>
          <w:szCs w:val="21"/>
          <w:highlight w:val="none"/>
          <w:lang w:eastAsia="zh-CN"/>
        </w:rPr>
        <w:t xml:space="preserve">一个月</w:t>
      </w:r>
      <w:r>
        <w:rPr>
          <w:rFonts w:hint="eastAsia" w:ascii="仿宋" w:hAnsi="仿宋" w:eastAsia="仿宋" w:cs="仿宋"/>
          <w:b/>
          <w:bCs/>
          <w:color w:val="000000"/>
          <w:sz w:val="21"/>
          <w:szCs w:val="21"/>
          <w:highlight w:val="none"/>
          <w:lang w:val="en-US" w:eastAsia="zh-CN"/>
        </w:rPr>
        <w:t xml:space="preserve">为其缴纳</w:t>
      </w:r>
      <w:r>
        <w:rPr>
          <w:rFonts w:hint="eastAsia" w:ascii="仿宋" w:hAnsi="仿宋" w:eastAsia="仿宋" w:cs="仿宋"/>
          <w:b/>
          <w:bCs/>
          <w:color w:val="000000"/>
          <w:sz w:val="21"/>
          <w:szCs w:val="21"/>
          <w:highlight w:val="none"/>
          <w:lang w:eastAsia="zh-CN"/>
        </w:rPr>
        <w:t xml:space="preserve">的社保证明）；</w:t>
      </w:r>
      <w:r/>
    </w:p>
    <w:p>
      <w:pPr>
        <w:ind w:firstLine="422"/>
        <w:jc w:val="left"/>
        <w:spacing w:line="360" w:lineRule="auto"/>
        <w:shd w:val="clear" w:color="auto" w:fill="auto"/>
        <w:widowControl/>
        <w:rPr>
          <w:rFonts w:hint="eastAsia" w:ascii="宋体" w:hAnsi="宋体" w:eastAsia="宋体"/>
          <w:b/>
          <w:bCs/>
          <w:color w:val="000000"/>
          <w:sz w:val="21"/>
          <w:szCs w:val="21"/>
          <w:highlight w:val="none"/>
        </w:rPr>
        <w:outlineLvl w:val="9"/>
      </w:pPr>
      <w:r>
        <w:rPr>
          <w:rFonts w:hint="eastAsia" w:ascii="仿宋" w:hAnsi="仿宋" w:eastAsia="仿宋" w:cs="仿宋"/>
          <w:b/>
          <w:bCs/>
          <w:color w:val="000000"/>
          <w:sz w:val="21"/>
          <w:szCs w:val="21"/>
          <w:highlight w:val="none"/>
        </w:rPr>
        <w:t xml:space="preserve">（3）※《南京市政府采购供应商信用记录表暨信用承诺书》；</w:t>
      </w:r>
      <w:r/>
    </w:p>
    <w:p>
      <w:pPr>
        <w:jc w:val="left"/>
        <w:spacing w:line="360" w:lineRule="auto"/>
        <w:shd w:val="clear" w:color="auto" w:fill="auto"/>
        <w:widowControl/>
        <w:rPr>
          <w:rFonts w:hint="eastAsia" w:ascii="仿宋" w:hAnsi="仿宋" w:eastAsia="仿宋" w:cs="仿宋"/>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4</w:t>
      </w:r>
      <w:r>
        <w:rPr>
          <w:rFonts w:hint="eastAsia" w:ascii="仿宋" w:hAnsi="仿宋" w:eastAsia="仿宋" w:cs="仿宋"/>
          <w:b/>
          <w:bCs/>
          <w:color w:val="000000"/>
          <w:sz w:val="21"/>
          <w:szCs w:val="21"/>
          <w:highlight w:val="none"/>
        </w:rPr>
        <w:t xml:space="preserve">）※“不存在与参加本项目的其他供应商单位负责人为同一人或者存在直接控股、管理关系”的承诺函；</w:t>
      </w:r>
      <w:r/>
    </w:p>
    <w:p>
      <w:pPr>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5</w:t>
      </w:r>
      <w:r>
        <w:rPr>
          <w:rFonts w:hint="eastAsia" w:ascii="仿宋" w:hAnsi="仿宋" w:eastAsia="仿宋" w:cs="仿宋"/>
          <w:b/>
          <w:bCs/>
          <w:color w:val="000000"/>
          <w:sz w:val="21"/>
          <w:szCs w:val="21"/>
          <w:highlight w:val="none"/>
        </w:rPr>
        <w:t xml:space="preserve">）※第一章招标公告中</w:t>
      </w:r>
      <w:r>
        <w:rPr>
          <w:rFonts w:hint="eastAsia" w:ascii="仿宋" w:hAnsi="仿宋" w:eastAsia="仿宋" w:cs="仿宋"/>
          <w:b/>
          <w:bCs/>
          <w:color w:val="000000"/>
          <w:sz w:val="21"/>
          <w:szCs w:val="21"/>
          <w:highlight w:val="none"/>
          <w:lang w:val="en-US"/>
        </w:rPr>
        <w:t xml:space="preserve">2.1</w:t>
      </w:r>
      <w:r>
        <w:rPr>
          <w:rFonts w:hint="eastAsia" w:ascii="仿宋" w:hAnsi="仿宋" w:eastAsia="仿宋" w:cs="仿宋"/>
          <w:b/>
          <w:bCs/>
          <w:color w:val="000000"/>
          <w:sz w:val="21"/>
          <w:szCs w:val="21"/>
          <w:highlight w:val="none"/>
        </w:rPr>
        <w:t xml:space="preserve">《中华人民共和国政府采购法》第二十二条规定的资格条件证明文件；</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6</w:t>
      </w:r>
      <w:r>
        <w:rPr>
          <w:rFonts w:hint="eastAsia" w:ascii="仿宋" w:hAnsi="仿宋" w:eastAsia="仿宋" w:cs="仿宋"/>
          <w:b/>
          <w:bCs/>
          <w:color w:val="000000"/>
          <w:sz w:val="21"/>
          <w:szCs w:val="21"/>
          <w:highlight w:val="none"/>
        </w:rPr>
        <w:t xml:space="preserve">）※第一章招标公告中2</w:t>
      </w:r>
      <w:r>
        <w:rPr>
          <w:rFonts w:hint="eastAsia" w:ascii="仿宋" w:hAnsi="仿宋" w:eastAsia="仿宋" w:cs="仿宋"/>
          <w:b/>
          <w:bCs/>
          <w:color w:val="000000"/>
          <w:sz w:val="21"/>
          <w:szCs w:val="21"/>
          <w:highlight w:val="none"/>
          <w:lang w:val="en-US"/>
        </w:rPr>
        <w:t xml:space="preserve">.</w:t>
      </w:r>
      <w:r>
        <w:rPr>
          <w:rFonts w:hint="eastAsia" w:ascii="仿宋" w:hAnsi="仿宋" w:eastAsia="仿宋" w:cs="仿宋"/>
          <w:b/>
          <w:bCs/>
          <w:color w:val="000000"/>
          <w:sz w:val="21"/>
          <w:szCs w:val="21"/>
          <w:highlight w:val="none"/>
        </w:rPr>
        <w:t xml:space="preserve">2落实政府采购政策需满足的资格要求的证明文件；</w:t>
      </w:r>
      <w:r/>
    </w:p>
    <w:p>
      <w:pPr>
        <w:spacing w:line="360" w:lineRule="auto"/>
        <w:shd w:val="clear" w:color="auto" w:fill="auto"/>
        <w:rPr>
          <w:rFonts w:hint="eastAsia" w:ascii="仿宋" w:hAnsi="仿宋" w:eastAsia="仿宋" w:cs="仿宋"/>
          <w:b/>
          <w:color w:val="000000"/>
          <w:sz w:val="21"/>
          <w:szCs w:val="21"/>
          <w:highlight w:val="none"/>
        </w:rPr>
        <w:outlineLvl w:val="9"/>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7</w:t>
      </w:r>
      <w:r>
        <w:rPr>
          <w:rFonts w:hint="eastAsia" w:ascii="仿宋" w:hAnsi="仿宋" w:eastAsia="仿宋" w:cs="仿宋"/>
          <w:b/>
          <w:bCs/>
          <w:color w:val="000000"/>
          <w:sz w:val="21"/>
          <w:szCs w:val="21"/>
          <w:highlight w:val="none"/>
        </w:rPr>
        <w:t xml:space="preserve">）※</w:t>
      </w:r>
      <w:r>
        <w:rPr>
          <w:rFonts w:hint="eastAsia" w:ascii="仿宋" w:hAnsi="仿宋" w:eastAsia="仿宋" w:cs="仿宋"/>
          <w:b/>
          <w:color w:val="000000"/>
          <w:sz w:val="21"/>
          <w:szCs w:val="21"/>
          <w:highlight w:val="none"/>
        </w:rPr>
        <w:t xml:space="preserve">第一章招标公告中</w:t>
      </w:r>
      <w:r>
        <w:rPr>
          <w:rFonts w:hint="eastAsia" w:ascii="仿宋" w:hAnsi="仿宋" w:eastAsia="仿宋" w:cs="仿宋"/>
          <w:b/>
          <w:color w:val="000000"/>
          <w:sz w:val="21"/>
          <w:szCs w:val="21"/>
          <w:highlight w:val="none"/>
          <w:lang w:val="en-US"/>
        </w:rPr>
        <w:t xml:space="preserve">2</w:t>
      </w:r>
      <w:r>
        <w:rPr>
          <w:rFonts w:hint="eastAsia" w:ascii="仿宋" w:hAnsi="仿宋" w:eastAsia="仿宋" w:cs="仿宋"/>
          <w:b/>
          <w:color w:val="000000"/>
          <w:sz w:val="21"/>
          <w:szCs w:val="21"/>
          <w:highlight w:val="none"/>
        </w:rPr>
        <w:t xml:space="preserve">.</w:t>
      </w:r>
      <w:r>
        <w:rPr>
          <w:rFonts w:hint="eastAsia" w:ascii="仿宋" w:hAnsi="仿宋" w:eastAsia="仿宋" w:cs="仿宋"/>
          <w:b/>
          <w:color w:val="000000"/>
          <w:sz w:val="21"/>
          <w:szCs w:val="21"/>
          <w:highlight w:val="none"/>
          <w:lang w:val="en-US"/>
        </w:rPr>
        <w:t xml:space="preserve">3</w:t>
      </w:r>
      <w:r>
        <w:rPr>
          <w:rFonts w:hint="eastAsia" w:ascii="仿宋" w:hAnsi="仿宋" w:eastAsia="仿宋" w:cs="仿宋"/>
          <w:b/>
          <w:color w:val="000000"/>
          <w:sz w:val="21"/>
          <w:szCs w:val="21"/>
          <w:highlight w:val="none"/>
        </w:rPr>
        <w:t xml:space="preserve">采购人根据采购项目的特殊要求规定的特定条件的证明文件； </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）供应商认为需要提供的其他资格证明文件和商务资料；</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）《商务条款偏离表》。</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rPr>
        <w:t xml:space="preserve">12、投标文件的技术部分</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.1技术部分是证明供应商提供的货物和服务是合格的、并符合招标文件要求的证明文件，以及对货物和服务的详细说明，这些文件可以是文字资料、图纸（表）和数据等。</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若技术性能无特殊说明，则按国家有关部门最新颁布的标准及规范为准。</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提供的货物和服务如与招标文件要求有不符之处，应说明其差别之所在，并在《技术条款偏离表》中逐条予以说明。</w:t>
      </w:r>
      <w:r/>
    </w:p>
    <w:p>
      <w:pPr>
        <w:spacing w:line="360" w:lineRule="auto"/>
        <w:shd w:val="clear" w:color="auto" w:fill="auto"/>
        <w:rPr>
          <w:rFonts w:hint="eastAsia" w:ascii="仿宋" w:hAnsi="仿宋" w:eastAsia="仿宋" w:cs="仿宋"/>
          <w:b/>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12.4投标文件应按照招标文件要求提供技术资料、文件和有关证明，包括但不限于下列文件</w:t>
      </w:r>
      <w:r>
        <w:rPr>
          <w:rFonts w:hint="eastAsia" w:ascii="仿宋" w:hAnsi="仿宋" w:eastAsia="仿宋" w:cs="仿宋"/>
          <w:b/>
          <w:bCs/>
          <w:color w:val="000000"/>
          <w:sz w:val="21"/>
          <w:szCs w:val="21"/>
          <w:highlight w:val="none"/>
        </w:rPr>
        <w:t xml:space="preserve">（加“※”项不得有缺失或无效）：</w:t>
      </w:r>
      <w:r/>
    </w:p>
    <w:p>
      <w:pPr>
        <w:spacing w:line="360" w:lineRule="auto"/>
        <w:shd w:val="clear" w:color="auto" w:fill="auto"/>
        <w:widowControl/>
        <w:rPr>
          <w:rFonts w:hint="eastAsia" w:ascii="仿宋" w:hAnsi="仿宋" w:eastAsia="仿宋" w:cs="仿宋"/>
          <w:b/>
          <w:bCs/>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仿宋" w:hAnsi="仿宋" w:eastAsia="仿宋" w:cs="仿宋"/>
          <w:b/>
          <w:bCs/>
          <w:color w:val="000000"/>
          <w:sz w:val="21"/>
          <w:szCs w:val="21"/>
          <w:highlight w:val="none"/>
        </w:rPr>
        <w:t xml:space="preserve">（1）※货物品牌、型号、材质、主要技术（服务）指标和性能、制造商、生产企业名称等详细说明；</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rPr>
        <w:t xml:space="preserve">）※《投标项目主要产品一览表》；</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3</w:t>
      </w:r>
      <w:r>
        <w:rPr>
          <w:rFonts w:hint="eastAsia" w:ascii="仿宋" w:hAnsi="仿宋" w:eastAsia="仿宋" w:cs="仿宋"/>
          <w:b/>
          <w:bCs/>
          <w:color w:val="000000"/>
          <w:sz w:val="21"/>
          <w:szCs w:val="21"/>
          <w:highlight w:val="none"/>
        </w:rPr>
        <w:t xml:space="preserve">）※《供货一览表》；</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）货物安装验收标准；</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）项目实施方案；</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）服务承诺；</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）供应商认为需要提供的其他技术资料等；</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）《技术条款偏离表》。</w:t>
      </w:r>
      <w:r/>
    </w:p>
    <w:p>
      <w:pPr>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 13、投标文件的价格部分</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.1价格部分是对投标货物和服务价格构成的说明，每一项货物及服务仅接受一个价格。</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.2报价应包含本次招标标的有关的所有费用，以及技术资料、支付给员工的工资和国家强制缴纳的各种社会保障资金，以及供应商认为需要的其他费用等。</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.3供应商的任何错漏、优惠、竞争性报价不得作为减轻责任、减少服务、增加收费、降低质量的理由。</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应按照招标文件规定格式完整、正确填报投标函、开标一览表。</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对于采用货币报价的项目，开标一览表中的投标总价应与分项报价表中的投标总价一致，如不一致不作为无效投标处理，评标时以开标一览表中价格为准。</w:t>
      </w:r>
      <w:r/>
    </w:p>
    <w:p>
      <w:pPr>
        <w:ind w:firstLine="422"/>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14、投标文件的其他部分</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14.1其他部分由供应商根据编制投标文件需要提供的其他相关文件。</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15、投标保证金</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15.1本项目不收取投标保证金。</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16、投标有效期</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16.1自提交投标文件截止之日起</w:t>
      </w:r>
      <w:r>
        <w:rPr>
          <w:rFonts w:hint="eastAsia" w:ascii="宋体" w:hAnsi="宋体" w:eastAsia="宋体"/>
          <w:color w:val="000000"/>
          <w:sz w:val="21"/>
          <w:szCs w:val="21"/>
          <w:highlight w:val="none"/>
          <w:lang w:val="en-US"/>
        </w:rPr>
        <w:t xml:space="preserve">90</w:t>
      </w:r>
      <w:r>
        <w:rPr>
          <w:rFonts w:hint="eastAsia" w:ascii="宋体" w:hAnsi="宋体" w:eastAsia="宋体"/>
          <w:color w:val="000000"/>
          <w:sz w:val="21"/>
          <w:szCs w:val="21"/>
          <w:highlight w:val="none"/>
        </w:rPr>
        <w:t xml:space="preserve">日。</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16.2在特殊情况下，在原投标有效期截止之前，采购代理机构可要求供应商同意延长投标有效期，这种要求与答复均以书面形式提交。供应商可拒绝这种要求，接收延长投标有效期的供应商将不会要求和允许修正其投标。</w:t>
      </w:r>
      <w:r/>
    </w:p>
    <w:p>
      <w:pPr>
        <w:spacing w:line="360" w:lineRule="auto"/>
        <w:shd w:val="clear" w:color="auto" w:fill="auto"/>
        <w:rPr>
          <w:rFonts w:ascii="宋体" w:hAnsi="宋体" w:eastAsia="宋体"/>
          <w:b/>
          <w:bCs/>
          <w:color w:val="000000"/>
          <w:sz w:val="21"/>
          <w:szCs w:val="21"/>
          <w:highlight w:val="none"/>
          <w:lang w:val="en-US" w:eastAsia="zh-CN"/>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17、投标文件</w:t>
      </w:r>
      <w:r>
        <w:rPr>
          <w:rFonts w:hint="eastAsia" w:ascii="宋体" w:hAnsi="宋体" w:eastAsia="宋体"/>
          <w:b/>
          <w:bCs/>
          <w:color w:val="000000"/>
          <w:sz w:val="21"/>
          <w:szCs w:val="21"/>
          <w:highlight w:val="none"/>
          <w:lang w:val="en-US" w:eastAsia="zh-CN"/>
        </w:rPr>
        <w:t xml:space="preserve">的提交</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eastAsia="zh-CN"/>
        </w:rPr>
        <w:t xml:space="preserve">7.1供应商</w:t>
      </w:r>
      <w:r>
        <w:rPr>
          <w:rFonts w:hint="eastAsia" w:ascii="宋体" w:hAnsi="宋体" w:eastAsia="宋体"/>
          <w:color w:val="000000"/>
          <w:sz w:val="21"/>
          <w:szCs w:val="21"/>
          <w:highlight w:val="none"/>
          <w:lang w:val="en-US"/>
        </w:rPr>
        <w:t xml:space="preserve">应当按照《操作手册》规定，在招标公告规定的投标截止时间前制作并上传电子投标文件。</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17.2供应商</w:t>
      </w:r>
      <w:r>
        <w:rPr>
          <w:rFonts w:hint="eastAsia" w:ascii="宋体" w:hAnsi="宋体" w:eastAsia="宋体"/>
          <w:color w:val="000000"/>
          <w:sz w:val="21"/>
          <w:szCs w:val="21"/>
          <w:highlight w:val="none"/>
          <w:lang w:val="en-US"/>
        </w:rPr>
        <w:t xml:space="preserve">应充分考虑网络环境、网络带宽等因素可能对投标产生的影响，如因</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自身原因造成的电子投标文件上传不成功的，按照本招标文件第二章第21.2.2.3条规定做无效投标处理。</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17.3</w:t>
      </w:r>
      <w:r>
        <w:rPr>
          <w:rFonts w:hint="eastAsia" w:ascii="宋体" w:hAnsi="宋体" w:eastAsia="宋体"/>
          <w:color w:val="000000"/>
          <w:sz w:val="21"/>
          <w:szCs w:val="21"/>
          <w:highlight w:val="none"/>
          <w:lang w:val="en-US"/>
        </w:rPr>
        <w:t xml:space="preserve">采购代理机构可以按照规定，通过修改招标文件酌情延长投标截止时间，在此情况下，</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的所有权利和义务均以延长后新的截止时间为准。</w:t>
      </w:r>
      <w:r/>
    </w:p>
    <w:p>
      <w:pPr>
        <w:spacing w:line="360" w:lineRule="auto"/>
        <w:shd w:val="clear" w:color="auto" w:fill="auto"/>
        <w:rPr>
          <w:rFonts w:hint="eastAsia" w:ascii="宋体" w:hAnsi="宋体" w:eastAsia="宋体"/>
          <w:b/>
          <w:bCs/>
          <w:color w:val="000000"/>
          <w:sz w:val="21"/>
          <w:szCs w:val="21"/>
          <w:highlight w:val="none"/>
          <w:lang w:val="en-US"/>
        </w:rPr>
        <w:outlineLvl w:val="9"/>
      </w:pPr>
      <w:r>
        <w:rPr>
          <w:rFonts w:hint="eastAsia" w:ascii="宋体" w:hAnsi="宋体" w:eastAsia="宋体"/>
          <w:b/>
          <w:bCs/>
          <w:color w:val="000000"/>
          <w:sz w:val="21"/>
          <w:szCs w:val="21"/>
          <w:highlight w:val="none"/>
          <w:lang w:val="en-US"/>
        </w:rPr>
        <w:t xml:space="preserve">    1</w:t>
      </w:r>
      <w:r>
        <w:rPr>
          <w:rFonts w:hint="eastAsia" w:ascii="宋体" w:hAnsi="宋体" w:eastAsia="宋体"/>
          <w:b/>
          <w:bCs/>
          <w:color w:val="000000"/>
          <w:sz w:val="21"/>
          <w:szCs w:val="21"/>
          <w:highlight w:val="none"/>
          <w:lang w:val="en-US" w:eastAsia="zh-CN"/>
        </w:rPr>
        <w:t xml:space="preserve">8</w:t>
      </w:r>
      <w:r>
        <w:rPr>
          <w:rFonts w:hint="eastAsia" w:ascii="宋体" w:hAnsi="宋体" w:eastAsia="宋体"/>
          <w:b/>
          <w:bCs/>
          <w:color w:val="000000"/>
          <w:sz w:val="21"/>
          <w:szCs w:val="21"/>
          <w:highlight w:val="none"/>
          <w:lang w:val="en-US"/>
        </w:rPr>
        <w:t xml:space="preserve">、投标文件</w:t>
      </w:r>
      <w:r>
        <w:rPr>
          <w:rFonts w:hint="eastAsia" w:ascii="宋体" w:hAnsi="宋体" w:eastAsia="宋体"/>
          <w:b/>
          <w:bCs/>
          <w:color w:val="000000"/>
          <w:sz w:val="21"/>
          <w:szCs w:val="21"/>
          <w:highlight w:val="none"/>
          <w:lang w:val="en-US" w:eastAsia="zh-CN"/>
        </w:rPr>
        <w:t xml:space="preserve">的</w:t>
      </w:r>
      <w:r>
        <w:rPr>
          <w:rFonts w:hint="eastAsia" w:ascii="宋体" w:hAnsi="宋体" w:eastAsia="宋体"/>
          <w:b/>
          <w:bCs/>
          <w:color w:val="000000"/>
          <w:sz w:val="21"/>
          <w:szCs w:val="21"/>
          <w:highlight w:val="none"/>
          <w:lang w:val="en-US"/>
        </w:rPr>
        <w:t xml:space="preserve">拒收</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lang w:val="en-US"/>
        </w:rPr>
        <w:t xml:space="preserve">.1</w:t>
      </w:r>
      <w:bookmarkStart w:id="31" w:name="OLE_LINK16"/>
      <w:r>
        <w:rPr>
          <w:rFonts w:hint="eastAsia" w:ascii="宋体" w:hAnsi="宋体" w:eastAsia="宋体"/>
          <w:color w:val="000000"/>
          <w:sz w:val="21"/>
          <w:szCs w:val="21"/>
          <w:highlight w:val="none"/>
          <w:lang w:val="en-US"/>
        </w:rPr>
        <w:t xml:space="preserve">采购代理机构拒绝接收投标截止时间后上传的任何投标文件。</w:t>
      </w:r>
      <w:bookmarkEnd w:id="31"/>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19、</w:t>
      </w:r>
      <w:r>
        <w:rPr>
          <w:rFonts w:hint="eastAsia" w:ascii="宋体" w:hAnsi="宋体" w:eastAsia="宋体"/>
          <w:b/>
          <w:bCs/>
          <w:color w:val="000000"/>
          <w:sz w:val="21"/>
          <w:szCs w:val="21"/>
          <w:highlight w:val="none"/>
        </w:rPr>
        <w:t xml:space="preserve">投标文件的撤回和修改</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.1投标文件的撤回</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.1.1</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可在投标截止时间前撤回其电子投标文件，具体操作方法见《操作手册》。</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.1.2</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撤回电子投标文件，则认为其不再参与本项目投标活动。</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.2投标文件的修改</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.2.1</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可在投标截止时间前对其电子投标文件进行修改，具体操作方法见《操作手册》。</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.2.2投标截止时间之后，</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不得对其电子投标文件作任何修改。</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.3在投标截止时间至招标文件中规定的投标有效期满之间的这段时间内，</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不得撤回其投标。</w:t>
      </w:r>
      <w:r/>
    </w:p>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四、</w:t>
      </w:r>
      <w:bookmarkStart w:id="32" w:name="OLE_LINK28"/>
      <w:r>
        <w:rPr>
          <w:rFonts w:hint="eastAsia" w:ascii="宋体" w:hAnsi="宋体" w:eastAsia="宋体"/>
          <w:b/>
          <w:bCs/>
          <w:color w:val="000000"/>
          <w:sz w:val="21"/>
          <w:szCs w:val="21"/>
          <w:highlight w:val="none"/>
        </w:rPr>
        <w:t xml:space="preserve">开标、评标与定标</w:t>
      </w:r>
      <w:bookmarkEnd w:id="32"/>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eastAsia="zh-CN"/>
        </w:rPr>
        <w:t xml:space="preserve">0</w:t>
      </w:r>
      <w:r>
        <w:rPr>
          <w:rFonts w:hint="eastAsia" w:ascii="宋体" w:hAnsi="宋体" w:eastAsia="宋体"/>
          <w:b/>
          <w:bCs/>
          <w:color w:val="000000"/>
          <w:sz w:val="21"/>
          <w:szCs w:val="21"/>
          <w:highlight w:val="none"/>
        </w:rPr>
        <w:t xml:space="preserve">、开标</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eastAsia="zh-CN"/>
        </w:rPr>
        <w:t xml:space="preserve">20.1</w:t>
      </w:r>
      <w:r>
        <w:rPr>
          <w:rFonts w:hint="eastAsia" w:ascii="宋体" w:hAnsi="宋体" w:eastAsia="宋体"/>
          <w:color w:val="000000"/>
          <w:sz w:val="21"/>
          <w:szCs w:val="21"/>
          <w:highlight w:val="none"/>
        </w:rPr>
        <w:t xml:space="preserve">采购代理机构在招标公告中规定的时间和地点组织公开开标。</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按照《操作手册》规定参加开标活动，并在苏采云系统规定的时间内对投标文件进行解密。苏采云系统公布各</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名称和投标价格。</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eastAsia="zh-CN"/>
        </w:rPr>
        <w:t xml:space="preserve">20.2</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在开标过程中涉及到的投标文件解密、开标结果确认等工作，应按照《操作手册》规定执行。</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eastAsia="zh-CN"/>
        </w:rPr>
        <w:t xml:space="preserve">20.3</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如果对开标过程和开标结果有疑义，应当根据《操作手册》规定提出，苏采云系统中《开标一览表》公布后5分钟内未提出的，视同认可开标结果。</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、评标</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.1评标组织</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.1.1评标工作由采购代理机构负责组织，具体评标事务由依法组建的评标委员会负责，并独立履行下列职责：</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）审查、评价投标文件是否符合招标文件的商务、技术等实质性要求；</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）要求供应商对投标文件有关事项作出澄清或者说明；</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）对投标文件进行比较和评价；</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）确定中标候选人名单，以及根据采购人委托直接确定中标供应商；</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）向采购人、采购代理机构或者有关部门报告评标中发现的违法行为。</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.1.2评标委员会由采购人代表及财政部门设立的政府采购评审专家库中随机方式抽取的评审专家组成，独立开展评审工作。</w:t>
      </w:r>
      <w:r/>
    </w:p>
    <w:p>
      <w:pPr>
        <w:spacing w:line="360" w:lineRule="auto"/>
        <w:shd w:val="clear" w:color="auto" w:fill="auto"/>
        <w:widowControl/>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.2评标程序</w:t>
      </w:r>
      <w:r/>
    </w:p>
    <w:p>
      <w:pPr>
        <w:ind w:firstLine="421"/>
        <w:spacing w:line="360" w:lineRule="auto"/>
        <w:shd w:val="clear" w:color="auto" w:fill="auto"/>
        <w:widowControl/>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2</w:t>
      </w:r>
      <w:r>
        <w:rPr>
          <w:rFonts w:hint="eastAsia" w:ascii="宋体" w:hAnsi="宋体" w:eastAsia="宋体"/>
          <w:b/>
          <w:color w:val="000000"/>
          <w:sz w:val="21"/>
          <w:szCs w:val="21"/>
          <w:highlight w:val="none"/>
          <w:lang w:val="en-US" w:eastAsia="zh-CN"/>
        </w:rPr>
        <w:t xml:space="preserve">1</w:t>
      </w:r>
      <w:r>
        <w:rPr>
          <w:rFonts w:hint="eastAsia" w:ascii="宋体" w:hAnsi="宋体" w:eastAsia="宋体"/>
          <w:b/>
          <w:color w:val="000000"/>
          <w:sz w:val="21"/>
          <w:szCs w:val="21"/>
          <w:highlight w:val="none"/>
        </w:rPr>
        <w:t xml:space="preserve">.2.1投标文件的资格性审查</w:t>
      </w:r>
      <w:r/>
    </w:p>
    <w:p>
      <w:pPr>
        <w:ind w:firstLine="421"/>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bCs/>
          <w:color w:val="000000"/>
          <w:sz w:val="21"/>
          <w:szCs w:val="21"/>
          <w:highlight w:val="none"/>
        </w:rPr>
        <w:t xml:space="preserve">2</w:t>
      </w:r>
      <w:r>
        <w:rPr>
          <w:rFonts w:hint="eastAsia" w:ascii="宋体" w:hAnsi="宋体" w:eastAsia="宋体"/>
          <w:bCs/>
          <w:color w:val="000000"/>
          <w:sz w:val="21"/>
          <w:szCs w:val="21"/>
          <w:highlight w:val="none"/>
          <w:lang w:val="en-US" w:eastAsia="zh-CN"/>
        </w:rPr>
        <w:t xml:space="preserve">1</w:t>
      </w:r>
      <w:r>
        <w:rPr>
          <w:rFonts w:hint="eastAsia" w:ascii="宋体" w:hAnsi="宋体" w:eastAsia="宋体"/>
          <w:bCs/>
          <w:color w:val="000000"/>
          <w:sz w:val="21"/>
          <w:szCs w:val="21"/>
          <w:highlight w:val="none"/>
        </w:rPr>
        <w:t xml:space="preserve">.2.1</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开标结束后，由采购人或者采购代理机构根据法律法规和招标文件的规定依法对供应商</w:t>
      </w:r>
      <w:r>
        <w:rPr>
          <w:rFonts w:hint="eastAsia" w:ascii="宋体" w:hAnsi="宋体" w:eastAsia="宋体"/>
          <w:bCs/>
          <w:color w:val="000000"/>
          <w:sz w:val="21"/>
          <w:szCs w:val="21"/>
          <w:highlight w:val="none"/>
          <w:lang w:val="en-US"/>
        </w:rPr>
        <w:t xml:space="preserve">投标文件中的资格证明文件、《南京市政府采购供应商信用记录表暨信用承诺书》等进行审查，以确定供应商是否具备投标资格</w:t>
      </w:r>
      <w:r>
        <w:rPr>
          <w:rFonts w:hint="eastAsia" w:ascii="宋体" w:hAnsi="宋体" w:eastAsia="宋体"/>
          <w:color w:val="000000"/>
          <w:sz w:val="21"/>
          <w:szCs w:val="21"/>
          <w:highlight w:val="none"/>
        </w:rPr>
        <w:t xml:space="preserve">。</w:t>
      </w:r>
      <w:r/>
    </w:p>
    <w:p>
      <w:pPr>
        <w:ind w:firstLine="420"/>
        <w:spacing w:line="360" w:lineRule="auto"/>
        <w:shd w:val="clear" w:color="auto" w:fill="auto"/>
        <w:widowControl/>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2</w:t>
      </w:r>
      <w:r>
        <w:rPr>
          <w:rFonts w:hint="eastAsia" w:ascii="宋体" w:hAnsi="宋体" w:eastAsia="宋体"/>
          <w:bCs/>
          <w:color w:val="000000"/>
          <w:sz w:val="21"/>
          <w:szCs w:val="21"/>
          <w:highlight w:val="none"/>
          <w:lang w:val="en-US" w:eastAsia="zh-CN"/>
        </w:rPr>
        <w:t xml:space="preserve">1</w:t>
      </w:r>
      <w:r>
        <w:rPr>
          <w:rFonts w:hint="eastAsia" w:ascii="宋体" w:hAnsi="宋体" w:eastAsia="宋体"/>
          <w:bCs/>
          <w:color w:val="000000"/>
          <w:sz w:val="21"/>
          <w:szCs w:val="21"/>
          <w:highlight w:val="none"/>
          <w:lang w:val="en-US"/>
        </w:rPr>
        <w:t xml:space="preserve">.2.1.2开标结束后，采购代理机构将在“信用中国”网站、“中国政府采购网”网站对供应商是否被列入失信被执行人、重大税收违法案件当事人名单、政府采购严重违法失信行为记录名单的情况进行查询，以确定供应商是否具备投标资格，查询结果将截图打印保存，并作为本项目档案资料留存。</w:t>
      </w:r>
      <w:r/>
    </w:p>
    <w:p>
      <w:pPr>
        <w:ind w:firstLine="422"/>
        <w:spacing w:line="360" w:lineRule="auto"/>
        <w:shd w:val="clear" w:color="auto" w:fill="auto"/>
        <w:widowControl/>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rPr>
        <w:t xml:space="preserve">.2.1.3</w:t>
      </w:r>
      <w:r>
        <w:rPr>
          <w:rFonts w:hint="eastAsia" w:ascii="仿宋" w:hAnsi="仿宋" w:eastAsia="仿宋" w:cs="仿宋"/>
          <w:b/>
          <w:bCs/>
          <w:color w:val="000000"/>
          <w:sz w:val="21"/>
          <w:szCs w:val="21"/>
          <w:highlight w:val="none"/>
        </w:rPr>
        <w:t xml:space="preserve">投标文件有下列情况之一的，在资格性审查时按照投标无效处理：</w:t>
      </w:r>
      <w:r/>
    </w:p>
    <w:p>
      <w:pPr>
        <w:spacing w:line="360" w:lineRule="auto"/>
        <w:shd w:val="clear" w:color="auto" w:fill="auto"/>
        <w:rPr>
          <w:rFonts w:hint="eastAsia" w:ascii="仿宋" w:hAnsi="仿宋" w:eastAsia="仿宋" w:cs="仿宋"/>
          <w:b/>
          <w:bCs/>
          <w:color w:val="000000"/>
          <w:sz w:val="21"/>
          <w:szCs w:val="21"/>
          <w:highlight w:val="none"/>
          <w:lang w:val="en-US"/>
        </w:rPr>
        <w:outlineLvl w:val="9"/>
      </w:pPr>
      <w:r>
        <w:rPr>
          <w:rFonts w:hint="eastAsia" w:ascii="宋体" w:hAnsi="宋体" w:eastAsia="宋体"/>
          <w:color w:val="000000"/>
          <w:sz w:val="21"/>
          <w:szCs w:val="21"/>
          <w:highlight w:val="none"/>
          <w:lang w:val="en-US"/>
        </w:rPr>
        <w:t xml:space="preserve">    </w:t>
      </w:r>
      <w:r>
        <w:rPr>
          <w:rFonts w:hint="eastAsia" w:ascii="仿宋" w:hAnsi="仿宋" w:eastAsia="仿宋" w:cs="仿宋"/>
          <w:b/>
          <w:bCs/>
          <w:color w:val="000000"/>
          <w:sz w:val="21"/>
          <w:szCs w:val="21"/>
          <w:highlight w:val="none"/>
          <w:lang w:val="en-US"/>
        </w:rPr>
        <w:t xml:space="preserve">（1）本章</w:t>
      </w:r>
      <w:r>
        <w:rPr>
          <w:rFonts w:hint="eastAsia" w:ascii="仿宋" w:hAnsi="仿宋" w:eastAsia="仿宋" w:cs="仿宋"/>
          <w:b/>
          <w:bCs/>
          <w:color w:val="000000"/>
          <w:sz w:val="21"/>
          <w:szCs w:val="21"/>
          <w:highlight w:val="none"/>
        </w:rPr>
        <w:t xml:space="preserve">11</w:t>
      </w:r>
      <w:r>
        <w:rPr>
          <w:rFonts w:hint="eastAsia" w:ascii="仿宋" w:hAnsi="仿宋" w:eastAsia="仿宋" w:cs="仿宋"/>
          <w:b/>
          <w:bCs/>
          <w:color w:val="000000"/>
          <w:sz w:val="21"/>
          <w:szCs w:val="21"/>
          <w:highlight w:val="none"/>
          <w:lang w:val="en-US"/>
        </w:rPr>
        <w:t xml:space="preserve">.1加“※”项要求提供的证明材料缺失或无效的；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2）供应商被“信用中国”网站、“中国政府采购网”网站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.2.1.4</w:t>
      </w:r>
      <w:r>
        <w:rPr>
          <w:rFonts w:hint="eastAsia" w:ascii="宋体" w:hAnsi="宋体" w:eastAsia="宋体"/>
          <w:color w:val="000000"/>
          <w:sz w:val="21"/>
          <w:szCs w:val="21"/>
          <w:highlight w:val="none"/>
        </w:rPr>
        <w:t xml:space="preserve">合格供应商不足3家的，不得评标。</w:t>
      </w:r>
      <w:r/>
    </w:p>
    <w:p>
      <w:pPr>
        <w:ind w:firstLine="421"/>
        <w:spacing w:line="360" w:lineRule="auto"/>
        <w:shd w:val="clear" w:color="auto" w:fill="auto"/>
        <w:widowControl/>
        <w:rPr>
          <w:rFonts w:hint="eastAsia" w:ascii="宋体" w:hAnsi="宋体" w:eastAsia="宋体"/>
          <w:b/>
          <w:color w:val="000000"/>
          <w:sz w:val="21"/>
          <w:szCs w:val="21"/>
          <w:highlight w:val="none"/>
        </w:rPr>
        <w:outlineLvl w:val="9"/>
      </w:pPr>
      <w:r/>
      <w:bookmarkStart w:id="33" w:name="OLE_LINK13"/>
      <w:r>
        <w:rPr>
          <w:rFonts w:hint="eastAsia" w:ascii="宋体" w:hAnsi="宋体" w:eastAsia="宋体"/>
          <w:b/>
          <w:color w:val="000000"/>
          <w:sz w:val="21"/>
          <w:szCs w:val="21"/>
          <w:highlight w:val="none"/>
        </w:rPr>
        <w:t xml:space="preserve">2</w:t>
      </w:r>
      <w:r>
        <w:rPr>
          <w:rFonts w:hint="eastAsia" w:ascii="宋体" w:hAnsi="宋体" w:eastAsia="宋体"/>
          <w:b/>
          <w:color w:val="000000"/>
          <w:sz w:val="21"/>
          <w:szCs w:val="21"/>
          <w:highlight w:val="none"/>
          <w:lang w:val="en-US" w:eastAsia="zh-CN"/>
        </w:rPr>
        <w:t xml:space="preserve">1</w:t>
      </w:r>
      <w:r>
        <w:rPr>
          <w:rFonts w:hint="eastAsia" w:ascii="宋体" w:hAnsi="宋体" w:eastAsia="宋体"/>
          <w:b/>
          <w:color w:val="000000"/>
          <w:sz w:val="21"/>
          <w:szCs w:val="21"/>
          <w:highlight w:val="none"/>
        </w:rPr>
        <w:t xml:space="preserve">.2.2</w:t>
      </w:r>
      <w:bookmarkEnd w:id="33"/>
      <w:r>
        <w:rPr>
          <w:rFonts w:hint="eastAsia" w:ascii="宋体" w:hAnsi="宋体" w:eastAsia="宋体"/>
          <w:b/>
          <w:color w:val="000000"/>
          <w:sz w:val="21"/>
          <w:szCs w:val="21"/>
          <w:highlight w:val="none"/>
        </w:rPr>
        <w:t xml:space="preserve">投标文件的符合性审查</w:t>
      </w:r>
      <w:r/>
    </w:p>
    <w:p>
      <w:pPr>
        <w:ind w:firstLine="421"/>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.2.2.1</w:t>
      </w:r>
      <w:r>
        <w:rPr>
          <w:rFonts w:hint="eastAsia" w:ascii="宋体" w:hAnsi="宋体" w:eastAsia="宋体"/>
          <w:color w:val="000000"/>
          <w:sz w:val="21"/>
          <w:szCs w:val="21"/>
          <w:highlight w:val="none"/>
        </w:rPr>
        <w:t xml:space="preserve">评标委员会应当对符合资格的供应商的投标文件进行符合性审查，以确定其是否满足招标文件的实质性要求。</w:t>
      </w:r>
      <w:r/>
    </w:p>
    <w:p>
      <w:pPr>
        <w:ind w:firstLine="421"/>
        <w:spacing w:line="360" w:lineRule="auto"/>
        <w:shd w:val="clear" w:color="auto" w:fill="auto"/>
        <w:widowControl/>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rPr>
        <w:t xml:space="preserve">.2.2.2</w:t>
      </w:r>
      <w:r>
        <w:rPr>
          <w:rFonts w:hint="eastAsia" w:ascii="仿宋" w:hAnsi="仿宋" w:eastAsia="仿宋" w:cs="仿宋"/>
          <w:b/>
          <w:bCs/>
          <w:color w:val="000000"/>
          <w:sz w:val="21"/>
          <w:szCs w:val="21"/>
          <w:highlight w:val="none"/>
        </w:rPr>
        <w:t xml:space="preserve">实质性要求是指：本招标文件第二章供应商须知中</w:t>
      </w:r>
      <w:r>
        <w:rPr>
          <w:rFonts w:hint="eastAsia" w:ascii="仿宋" w:hAnsi="仿宋" w:eastAsia="仿宋" w:cs="仿宋"/>
          <w:b/>
          <w:bCs/>
          <w:color w:val="000000"/>
          <w:sz w:val="21"/>
          <w:szCs w:val="21"/>
          <w:highlight w:val="none"/>
          <w:u w:val="single"/>
        </w:rPr>
        <w:t xml:space="preserve">加</w:t>
      </w:r>
      <w:r>
        <w:rPr>
          <w:rFonts w:hint="eastAsia" w:ascii="仿宋" w:hAnsi="仿宋" w:eastAsia="仿宋" w:cs="仿宋"/>
          <w:b/>
          <w:bCs/>
          <w:color w:val="000000"/>
          <w:sz w:val="21"/>
          <w:szCs w:val="21"/>
          <w:highlight w:val="none"/>
          <w:u w:val="single"/>
          <w:lang w:val="en-US"/>
        </w:rPr>
        <w:t xml:space="preserve">“※”项要求</w:t>
      </w:r>
      <w:r>
        <w:rPr>
          <w:rFonts w:hint="eastAsia" w:ascii="仿宋" w:hAnsi="仿宋" w:eastAsia="仿宋" w:cs="仿宋"/>
          <w:b/>
          <w:bCs/>
          <w:color w:val="000000"/>
          <w:sz w:val="21"/>
          <w:szCs w:val="21"/>
          <w:highlight w:val="none"/>
          <w:lang w:val="en-US"/>
        </w:rPr>
        <w:t xml:space="preserve">、</w:t>
      </w:r>
      <w:r>
        <w:rPr>
          <w:rFonts w:hint="eastAsia" w:ascii="仿宋" w:hAnsi="仿宋" w:eastAsia="仿宋" w:cs="仿宋"/>
          <w:b/>
          <w:bCs/>
          <w:color w:val="000000"/>
          <w:sz w:val="21"/>
          <w:szCs w:val="21"/>
          <w:highlight w:val="none"/>
        </w:rPr>
        <w:t xml:space="preserve">第五章采购项目需求中</w:t>
      </w:r>
      <w:r>
        <w:rPr>
          <w:rFonts w:hint="eastAsia" w:ascii="仿宋" w:hAnsi="仿宋" w:eastAsia="仿宋" w:cs="仿宋"/>
          <w:b/>
          <w:bCs/>
          <w:color w:val="000000"/>
          <w:sz w:val="21"/>
          <w:szCs w:val="21"/>
          <w:highlight w:val="none"/>
          <w:u w:val="single"/>
        </w:rPr>
        <w:t xml:space="preserve">加“★”项技术要求以及商务要求</w:t>
      </w:r>
      <w:r>
        <w:rPr>
          <w:rFonts w:hint="eastAsia" w:ascii="仿宋" w:hAnsi="仿宋" w:eastAsia="仿宋" w:cs="仿宋"/>
          <w:b/>
          <w:bCs/>
          <w:color w:val="000000"/>
          <w:sz w:val="21"/>
          <w:szCs w:val="21"/>
          <w:highlight w:val="none"/>
        </w:rPr>
        <w:t xml:space="preserve">。</w:t>
      </w:r>
      <w:r/>
    </w:p>
    <w:p>
      <w:pPr>
        <w:ind w:firstLine="422"/>
        <w:spacing w:line="360" w:lineRule="auto"/>
        <w:shd w:val="clear" w:color="auto" w:fill="auto"/>
        <w:widowControl/>
        <w:rPr>
          <w:rFonts w:hint="eastAsia" w:ascii="仿宋" w:hAnsi="仿宋" w:eastAsia="仿宋" w:cs="仿宋"/>
          <w:b/>
          <w:bCs/>
          <w:color w:val="000000"/>
          <w:sz w:val="21"/>
          <w:szCs w:val="21"/>
          <w:highlight w:val="none"/>
        </w:rPr>
        <w:outlineLvl w:val="9"/>
      </w:pPr>
      <w:r/>
      <w:bookmarkStart w:id="34" w:name="OLE_LINK14"/>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rPr>
        <w:t xml:space="preserve">.2.2.3</w:t>
      </w:r>
      <w:bookmarkEnd w:id="34"/>
      <w:r>
        <w:rPr>
          <w:rFonts w:hint="eastAsia" w:ascii="仿宋" w:hAnsi="仿宋" w:eastAsia="仿宋" w:cs="仿宋"/>
          <w:b/>
          <w:bCs/>
          <w:color w:val="000000"/>
          <w:sz w:val="21"/>
          <w:szCs w:val="21"/>
          <w:highlight w:val="none"/>
        </w:rPr>
        <w:t xml:space="preserve">投标文件有下列情况之一的，在符合性审查时按照投标无效处理：</w:t>
      </w:r>
      <w:r/>
    </w:p>
    <w:p>
      <w:pPr>
        <w:spacing w:line="360" w:lineRule="auto"/>
        <w:shd w:val="clear" w:color="auto" w:fill="auto"/>
        <w:rPr>
          <w:rFonts w:hint="eastAsia" w:ascii="仿宋" w:hAnsi="仿宋" w:eastAsia="仿宋" w:cs="仿宋"/>
          <w:b/>
          <w:bCs/>
          <w:color w:val="000000"/>
          <w:sz w:val="21"/>
          <w:szCs w:val="21"/>
          <w:highlight w:val="none"/>
          <w:lang w:val="en-US"/>
        </w:rPr>
        <w:outlineLvl w:val="9"/>
      </w:pPr>
      <w:r>
        <w:rPr>
          <w:rFonts w:hint="eastAsia" w:ascii="仿宋" w:hAnsi="仿宋" w:eastAsia="仿宋" w:cs="仿宋"/>
          <w:b/>
          <w:bCs/>
          <w:color w:val="000000"/>
          <w:sz w:val="21"/>
          <w:szCs w:val="21"/>
          <w:highlight w:val="none"/>
          <w:lang w:val="en-US"/>
        </w:rPr>
        <w:t xml:space="preserve">    </w:t>
      </w:r>
      <w:bookmarkStart w:id="35" w:name="OLE_LINK17"/>
      <w:r>
        <w:rPr>
          <w:rFonts w:hint="eastAsia" w:ascii="仿宋" w:hAnsi="仿宋" w:eastAsia="仿宋" w:cs="仿宋"/>
          <w:b/>
          <w:bCs/>
          <w:color w:val="000000"/>
          <w:sz w:val="21"/>
          <w:szCs w:val="21"/>
          <w:highlight w:val="none"/>
          <w:lang w:val="en-US"/>
        </w:rPr>
        <w:t xml:space="preserve">（1）本章</w:t>
      </w:r>
      <w:r>
        <w:rPr>
          <w:rFonts w:hint="eastAsia" w:ascii="仿宋" w:hAnsi="仿宋" w:eastAsia="仿宋" w:cs="仿宋"/>
          <w:b/>
          <w:bCs/>
          <w:color w:val="000000"/>
          <w:sz w:val="21"/>
          <w:szCs w:val="21"/>
          <w:highlight w:val="none"/>
        </w:rPr>
        <w:t xml:space="preserve">1</w:t>
      </w:r>
      <w:r>
        <w:rPr>
          <w:rFonts w:hint="eastAsia" w:ascii="仿宋" w:hAnsi="仿宋" w:eastAsia="仿宋" w:cs="仿宋"/>
          <w:b/>
          <w:bCs/>
          <w:color w:val="000000"/>
          <w:sz w:val="21"/>
          <w:szCs w:val="21"/>
          <w:highlight w:val="none"/>
          <w:lang w:val="en-US"/>
        </w:rPr>
        <w:t xml:space="preserve">2.4加“※”项要求提供的证明材料缺失或无效的；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供应商</w:t>
      </w:r>
      <w:r>
        <w:rPr>
          <w:rFonts w:hint="eastAsia" w:ascii="仿宋" w:hAnsi="仿宋" w:eastAsia="仿宋" w:cs="仿宋"/>
          <w:b/>
          <w:bCs/>
          <w:color w:val="000000"/>
          <w:sz w:val="21"/>
          <w:szCs w:val="21"/>
          <w:highlight w:val="none"/>
        </w:rPr>
        <w:t xml:space="preserve">在苏采云系统规定的时间内未成功解密电子投标文件；</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3</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供应商</w:t>
      </w:r>
      <w:r>
        <w:rPr>
          <w:rFonts w:hint="eastAsia" w:ascii="仿宋" w:hAnsi="仿宋" w:eastAsia="仿宋" w:cs="仿宋"/>
          <w:b/>
          <w:bCs/>
          <w:color w:val="000000"/>
          <w:sz w:val="21"/>
          <w:szCs w:val="21"/>
          <w:highlight w:val="none"/>
        </w:rPr>
        <w:t xml:space="preserve">未按照招标文件要求上传电子投标文件；</w:t>
      </w:r>
      <w:r/>
    </w:p>
    <w:p>
      <w:pPr>
        <w:ind w:firstLine="422"/>
        <w:spacing w:line="360" w:lineRule="auto"/>
        <w:shd w:val="clear" w:color="auto" w:fill="auto"/>
        <w:rPr>
          <w:rFonts w:hint="eastAsia" w:ascii="宋体" w:hAnsi="宋体" w:eastAsia="仿宋"/>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4</w:t>
      </w:r>
      <w:r>
        <w:rPr>
          <w:rFonts w:hint="eastAsia" w:ascii="仿宋" w:hAnsi="仿宋" w:eastAsia="仿宋" w:cs="仿宋"/>
          <w:b/>
          <w:bCs/>
          <w:color w:val="000000"/>
          <w:sz w:val="21"/>
          <w:szCs w:val="21"/>
          <w:highlight w:val="none"/>
        </w:rPr>
        <w:t xml:space="preserve">）投标文件未按照招标文件要求加盖电子公章；</w:t>
      </w:r>
      <w:r/>
    </w:p>
    <w:p>
      <w:pPr>
        <w:spacing w:line="360" w:lineRule="auto"/>
        <w:shd w:val="clear" w:color="auto" w:fill="auto"/>
        <w:rPr>
          <w:rFonts w:hint="eastAsia" w:ascii="仿宋" w:hAnsi="仿宋" w:eastAsia="仿宋" w:cs="仿宋"/>
          <w:b/>
          <w:bCs/>
          <w:color w:val="000000"/>
          <w:sz w:val="21"/>
          <w:szCs w:val="21"/>
          <w:highlight w:val="none"/>
          <w:lang w:val="en-US"/>
        </w:rPr>
        <w:outlineLvl w:val="9"/>
      </w:pP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lang w:val="en-US" w:eastAsia="zh-CN"/>
        </w:rPr>
        <w:t xml:space="preserve">5</w:t>
      </w:r>
      <w:r>
        <w:rPr>
          <w:rFonts w:hint="eastAsia" w:ascii="仿宋" w:hAnsi="仿宋" w:eastAsia="仿宋" w:cs="仿宋"/>
          <w:b/>
          <w:bCs/>
          <w:color w:val="000000"/>
          <w:sz w:val="21"/>
          <w:szCs w:val="21"/>
          <w:highlight w:val="none"/>
          <w:lang w:val="en-US"/>
        </w:rPr>
        <w:t xml:space="preserve">）投标文件中未逐一说明投标产品名称、品牌、规格型号、产地、技术参数和服务响应，而是直接拷贝招标文件采购项目需求的；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6</w:t>
      </w:r>
      <w:r>
        <w:rPr>
          <w:rFonts w:hint="eastAsia" w:ascii="仿宋" w:hAnsi="仿宋" w:eastAsia="仿宋" w:cs="仿宋"/>
          <w:b/>
          <w:bCs/>
          <w:color w:val="000000"/>
          <w:sz w:val="21"/>
          <w:szCs w:val="21"/>
          <w:highlight w:val="none"/>
        </w:rPr>
        <w:t xml:space="preserve">）不同供应商的投标文件由同一单位或者个人编制；</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7</w:t>
      </w:r>
      <w:r>
        <w:rPr>
          <w:rFonts w:hint="eastAsia" w:ascii="仿宋" w:hAnsi="仿宋" w:eastAsia="仿宋" w:cs="仿宋"/>
          <w:b/>
          <w:bCs/>
          <w:color w:val="000000"/>
          <w:sz w:val="21"/>
          <w:szCs w:val="21"/>
          <w:highlight w:val="none"/>
        </w:rPr>
        <w:t xml:space="preserve">）不同供应商委托同一单位或者个人办理投标事宜；</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8</w:t>
      </w:r>
      <w:r>
        <w:rPr>
          <w:rFonts w:hint="eastAsia" w:ascii="仿宋" w:hAnsi="仿宋" w:eastAsia="仿宋" w:cs="仿宋"/>
          <w:b/>
          <w:bCs/>
          <w:color w:val="000000"/>
          <w:sz w:val="21"/>
          <w:szCs w:val="21"/>
          <w:highlight w:val="none"/>
        </w:rPr>
        <w:t xml:space="preserve">）不同供应商的投标文件载明的项目管理成员或者联系人员为同一人；</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9</w:t>
      </w:r>
      <w:r>
        <w:rPr>
          <w:rFonts w:hint="eastAsia" w:ascii="仿宋" w:hAnsi="仿宋" w:eastAsia="仿宋" w:cs="仿宋"/>
          <w:b/>
          <w:bCs/>
          <w:color w:val="000000"/>
          <w:sz w:val="21"/>
          <w:szCs w:val="21"/>
          <w:highlight w:val="none"/>
        </w:rPr>
        <w:t xml:space="preserve">）不同供应商的投标文件异常一致或者投标报价呈规律性差异；</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10</w:t>
      </w:r>
      <w:r>
        <w:rPr>
          <w:rFonts w:hint="eastAsia" w:ascii="仿宋" w:hAnsi="仿宋" w:eastAsia="仿宋" w:cs="仿宋"/>
          <w:b/>
          <w:bCs/>
          <w:color w:val="000000"/>
          <w:sz w:val="21"/>
          <w:szCs w:val="21"/>
          <w:highlight w:val="none"/>
        </w:rPr>
        <w:t xml:space="preserve">）不同供应商的单位负责人为同一人或者供应商之间存在直接控股、管理关系的；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11</w:t>
      </w:r>
      <w:r>
        <w:rPr>
          <w:rFonts w:hint="eastAsia" w:ascii="仿宋" w:hAnsi="仿宋" w:eastAsia="仿宋" w:cs="仿宋"/>
          <w:b/>
          <w:bCs/>
          <w:color w:val="000000"/>
          <w:sz w:val="21"/>
          <w:szCs w:val="21"/>
          <w:highlight w:val="none"/>
        </w:rPr>
        <w:t xml:space="preserve">）报价超过招标文件中规定的预算金额或者最高限价的；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12</w:t>
      </w:r>
      <w:r>
        <w:rPr>
          <w:rFonts w:hint="eastAsia" w:ascii="仿宋" w:hAnsi="仿宋" w:eastAsia="仿宋" w:cs="仿宋"/>
          <w:b/>
          <w:bCs/>
          <w:color w:val="000000"/>
          <w:sz w:val="21"/>
          <w:szCs w:val="21"/>
          <w:highlight w:val="none"/>
        </w:rPr>
        <w:t xml:space="preserve">）投标文件含有采购人不能接受的附加条件的；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（1</w:t>
      </w:r>
      <w:r>
        <w:rPr>
          <w:rFonts w:hint="eastAsia" w:ascii="仿宋" w:hAnsi="仿宋" w:eastAsia="仿宋" w:cs="仿宋"/>
          <w:b/>
          <w:bCs/>
          <w:color w:val="000000"/>
          <w:sz w:val="21"/>
          <w:szCs w:val="21"/>
          <w:highlight w:val="none"/>
          <w:lang w:val="en-US"/>
        </w:rPr>
        <w:t xml:space="preserve">3</w:t>
      </w:r>
      <w:r>
        <w:rPr>
          <w:rFonts w:hint="eastAsia" w:ascii="仿宋" w:hAnsi="仿宋" w:eastAsia="仿宋" w:cs="仿宋"/>
          <w:b/>
          <w:bCs/>
          <w:color w:val="000000"/>
          <w:sz w:val="21"/>
          <w:szCs w:val="21"/>
          <w:highlight w:val="none"/>
        </w:rPr>
        <w:t xml:space="preserve">）属于第一章招标公告中2.6所列情形的；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14</w:t>
      </w:r>
      <w:r>
        <w:rPr>
          <w:rFonts w:hint="eastAsia" w:ascii="仿宋" w:hAnsi="仿宋" w:eastAsia="仿宋" w:cs="仿宋"/>
          <w:b/>
          <w:bCs/>
          <w:color w:val="000000"/>
          <w:sz w:val="21"/>
          <w:szCs w:val="21"/>
          <w:highlight w:val="none"/>
        </w:rPr>
        <w:t xml:space="preserve">）投标文件不符合招标文件规定的其他实质性要求的；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15</w:t>
      </w:r>
      <w:r>
        <w:rPr>
          <w:rFonts w:hint="eastAsia" w:ascii="仿宋" w:hAnsi="仿宋" w:eastAsia="仿宋" w:cs="仿宋"/>
          <w:b/>
          <w:bCs/>
          <w:color w:val="000000"/>
          <w:sz w:val="21"/>
          <w:szCs w:val="21"/>
          <w:highlight w:val="none"/>
        </w:rPr>
        <w:t xml:space="preserve">）法律、法规和招标文件规定的其他无效情形。</w:t>
      </w:r>
      <w:bookmarkEnd w:id="35"/>
      <w:r/>
      <w:r/>
    </w:p>
    <w:p>
      <w:pPr>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rPr>
        <w:t xml:space="preserve">.2.2.4</w:t>
      </w:r>
      <w:r>
        <w:rPr>
          <w:rFonts w:hint="eastAsia" w:ascii="仿宋" w:hAnsi="仿宋" w:eastAsia="仿宋" w:cs="仿宋"/>
          <w:b/>
          <w:bCs/>
          <w:color w:val="000000"/>
          <w:sz w:val="21"/>
          <w:szCs w:val="21"/>
          <w:highlight w:val="none"/>
        </w:rPr>
        <w:t xml:space="preserve">有下列情形之一的予以废标，同时将废标理由通知所有供应商：</w:t>
      </w:r>
      <w:r/>
    </w:p>
    <w:p>
      <w:pPr>
        <w:spacing w:line="360" w:lineRule="auto"/>
        <w:shd w:val="clear" w:color="auto" w:fill="auto"/>
        <w:rPr>
          <w:rFonts w:hint="eastAsia" w:ascii="仿宋" w:hAnsi="仿宋" w:eastAsia="仿宋" w:cs="仿宋"/>
          <w:b/>
          <w:bCs/>
          <w:color w:val="000000"/>
          <w:sz w:val="21"/>
          <w:szCs w:val="21"/>
          <w:highlight w:val="none"/>
        </w:rPr>
        <w:outlineLvl w:val="9"/>
      </w:pPr>
      <w:r/>
      <w:bookmarkStart w:id="36" w:name="OLE_LINK20"/>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（1）符合资格条件的供应商或者对招标文件作实质性响应的供应商不足三家的；</w:t>
      </w:r>
      <w:r/>
    </w:p>
    <w:p>
      <w:pPr>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 （2）出现影响采购公正的违法、违规行为的；</w:t>
      </w:r>
      <w:r/>
    </w:p>
    <w:p>
      <w:pPr>
        <w:ind w:firstLine="421"/>
        <w:spacing w:line="360" w:lineRule="auto"/>
        <w:shd w:val="clear" w:color="auto" w:fill="auto"/>
        <w:rPr>
          <w:rFonts w:hint="eastAsia" w:ascii="仿宋" w:hAnsi="仿宋" w:eastAsia="仿宋" w:cs="仿宋"/>
          <w:b/>
          <w:bCs/>
          <w:color w:val="000000"/>
          <w:sz w:val="21"/>
          <w:szCs w:val="21"/>
          <w:highlight w:val="none"/>
          <w:lang w:eastAsia="zh-CN"/>
        </w:rPr>
        <w:outlineLvl w:val="9"/>
      </w:pPr>
      <w:r>
        <w:rPr>
          <w:rFonts w:hint="eastAsia" w:ascii="仿宋" w:hAnsi="仿宋" w:eastAsia="仿宋" w:cs="仿宋"/>
          <w:b/>
          <w:bCs/>
          <w:color w:val="000000"/>
          <w:sz w:val="21"/>
          <w:szCs w:val="21"/>
          <w:highlight w:val="none"/>
        </w:rPr>
        <w:t xml:space="preserve">（3）因重大变故，采购任务取消的</w:t>
      </w:r>
      <w:r>
        <w:rPr>
          <w:rFonts w:hint="eastAsia" w:ascii="仿宋" w:hAnsi="仿宋" w:eastAsia="仿宋" w:cs="仿宋"/>
          <w:b/>
          <w:bCs/>
          <w:color w:val="000000"/>
          <w:sz w:val="21"/>
          <w:szCs w:val="21"/>
          <w:highlight w:val="none"/>
          <w:lang w:eastAsia="zh-CN"/>
        </w:rPr>
        <w:t xml:space="preserve">；</w:t>
      </w:r>
      <w:r/>
    </w:p>
    <w:p>
      <w:pPr>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（4）因苏采云系统故障造成开标不成功。</w:t>
      </w:r>
      <w:bookmarkEnd w:id="36"/>
      <w:r/>
      <w:r/>
    </w:p>
    <w:p>
      <w:pPr>
        <w:ind w:firstLine="420"/>
        <w:jc w:val="left"/>
        <w:spacing w:line="360" w:lineRule="auto"/>
        <w:shd w:val="clear" w:color="auto" w:fill="auto"/>
        <w:widowControl/>
        <w:rPr>
          <w:rFonts w:hint="eastAsia" w:ascii="宋体" w:hAnsi="宋体" w:eastAsia="宋体"/>
          <w:b w:val="0"/>
          <w:bCs w:val="0"/>
          <w:color w:val="000000"/>
          <w:sz w:val="21"/>
          <w:szCs w:val="21"/>
          <w:highlight w:val="none"/>
          <w:lang w:val="en-US"/>
        </w:rPr>
        <w:outlineLvl w:val="9"/>
      </w:pPr>
      <w:r>
        <w:rPr>
          <w:rFonts w:hint="eastAsia" w:ascii="宋体" w:hAnsi="宋体" w:eastAsia="宋体"/>
          <w:b w:val="0"/>
          <w:bCs w:val="0"/>
          <w:color w:val="000000"/>
          <w:sz w:val="21"/>
          <w:szCs w:val="21"/>
          <w:highlight w:val="none"/>
          <w:lang w:val="en-US"/>
        </w:rPr>
        <w:t xml:space="preserve">21.2.</w:t>
      </w:r>
      <w:r>
        <w:rPr>
          <w:rFonts w:hint="eastAsia" w:ascii="宋体" w:hAnsi="宋体" w:eastAsia="宋体"/>
          <w:b w:val="0"/>
          <w:bCs w:val="0"/>
          <w:color w:val="000000"/>
          <w:sz w:val="21"/>
          <w:szCs w:val="21"/>
          <w:highlight w:val="none"/>
          <w:lang w:val="en-US" w:eastAsia="zh-CN"/>
        </w:rPr>
        <w:t xml:space="preserve">3</w:t>
      </w:r>
      <w:r>
        <w:rPr>
          <w:rFonts w:hint="eastAsia" w:ascii="宋体" w:hAnsi="宋体" w:eastAsia="宋体"/>
          <w:b w:val="0"/>
          <w:bCs w:val="0"/>
          <w:color w:val="000000"/>
          <w:sz w:val="21"/>
          <w:szCs w:val="21"/>
          <w:highlight w:val="none"/>
          <w:lang w:val="en-US"/>
        </w:rPr>
        <w:t xml:space="preserve">未通过资格审查或符合性审查的</w:t>
      </w:r>
      <w:r>
        <w:rPr>
          <w:rFonts w:hint="eastAsia" w:ascii="宋体" w:hAnsi="宋体" w:eastAsia="宋体"/>
          <w:b w:val="0"/>
          <w:bCs w:val="0"/>
          <w:color w:val="000000"/>
          <w:sz w:val="21"/>
          <w:szCs w:val="21"/>
          <w:highlight w:val="none"/>
          <w:lang w:val="en-US" w:eastAsia="zh-CN"/>
        </w:rPr>
        <w:t xml:space="preserve">供应商</w:t>
      </w:r>
      <w:r>
        <w:rPr>
          <w:rFonts w:hint="eastAsia" w:ascii="宋体" w:hAnsi="宋体" w:eastAsia="宋体"/>
          <w:b w:val="0"/>
          <w:bCs w:val="0"/>
          <w:color w:val="000000"/>
          <w:sz w:val="21"/>
          <w:szCs w:val="21"/>
          <w:highlight w:val="none"/>
          <w:lang w:val="en-US"/>
        </w:rPr>
        <w:t xml:space="preserve">，采购代理机构将通过苏采云系统告知其具体原因，评标结束后不再接受有关询问。</w:t>
      </w:r>
      <w:r/>
    </w:p>
    <w:p>
      <w:pPr>
        <w:ind w:firstLine="420"/>
        <w:jc w:val="left"/>
        <w:spacing w:line="360" w:lineRule="auto"/>
        <w:shd w:val="clear" w:color="auto" w:fill="auto"/>
        <w:widowControl/>
        <w:rPr>
          <w:rFonts w:hint="eastAsia" w:ascii="宋体" w:hAnsi="宋体" w:eastAsia="宋体"/>
          <w:b w:val="0"/>
          <w:bCs w:val="0"/>
          <w:color w:val="000000"/>
          <w:sz w:val="21"/>
          <w:szCs w:val="21"/>
          <w:highlight w:val="none"/>
          <w:lang w:val="en-US"/>
        </w:rPr>
        <w:outlineLvl w:val="9"/>
      </w:pPr>
      <w:r>
        <w:rPr>
          <w:rFonts w:hint="eastAsia" w:ascii="宋体" w:hAnsi="宋体" w:eastAsia="宋体"/>
          <w:b w:val="0"/>
          <w:bCs w:val="0"/>
          <w:color w:val="000000"/>
          <w:sz w:val="21"/>
          <w:szCs w:val="21"/>
          <w:highlight w:val="none"/>
          <w:lang w:val="en-US"/>
        </w:rPr>
        <w:t xml:space="preserve">21.2.</w:t>
      </w:r>
      <w:r>
        <w:rPr>
          <w:rFonts w:hint="eastAsia" w:ascii="宋体" w:hAnsi="宋体" w:eastAsia="宋体"/>
          <w:b w:val="0"/>
          <w:bCs w:val="0"/>
          <w:color w:val="000000"/>
          <w:sz w:val="21"/>
          <w:szCs w:val="21"/>
          <w:highlight w:val="none"/>
          <w:lang w:val="en-US" w:eastAsia="zh-CN"/>
        </w:rPr>
        <w:t xml:space="preserve">4</w:t>
      </w:r>
      <w:r>
        <w:rPr>
          <w:rFonts w:hint="eastAsia" w:ascii="宋体" w:hAnsi="宋体" w:eastAsia="宋体"/>
          <w:b w:val="0"/>
          <w:bCs w:val="0"/>
          <w:color w:val="000000"/>
          <w:sz w:val="21"/>
          <w:szCs w:val="21"/>
          <w:highlight w:val="none"/>
          <w:lang w:val="en-US"/>
        </w:rPr>
        <w:t xml:space="preserve">如出现投标截止时间后参加的</w:t>
      </w:r>
      <w:r>
        <w:rPr>
          <w:rFonts w:hint="eastAsia" w:ascii="宋体" w:hAnsi="宋体" w:eastAsia="宋体"/>
          <w:b w:val="0"/>
          <w:bCs w:val="0"/>
          <w:color w:val="000000"/>
          <w:sz w:val="21"/>
          <w:szCs w:val="21"/>
          <w:highlight w:val="none"/>
          <w:lang w:val="en-US" w:eastAsia="zh-CN"/>
        </w:rPr>
        <w:t xml:space="preserve">供应商</w:t>
      </w:r>
      <w:r>
        <w:rPr>
          <w:rFonts w:hint="eastAsia" w:ascii="宋体" w:hAnsi="宋体" w:eastAsia="宋体"/>
          <w:b w:val="0"/>
          <w:bCs w:val="0"/>
          <w:color w:val="000000"/>
          <w:sz w:val="21"/>
          <w:szCs w:val="21"/>
          <w:highlight w:val="none"/>
          <w:lang w:val="en-US"/>
        </w:rPr>
        <w:t xml:space="preserve">或者对招标文件作出实质性响应的</w:t>
      </w:r>
      <w:r>
        <w:rPr>
          <w:rFonts w:hint="eastAsia" w:ascii="宋体" w:hAnsi="宋体" w:eastAsia="宋体"/>
          <w:b w:val="0"/>
          <w:bCs w:val="0"/>
          <w:color w:val="000000"/>
          <w:sz w:val="21"/>
          <w:szCs w:val="21"/>
          <w:highlight w:val="none"/>
          <w:lang w:val="en-US" w:eastAsia="zh-CN"/>
        </w:rPr>
        <w:t xml:space="preserve">供应商</w:t>
      </w:r>
      <w:r>
        <w:rPr>
          <w:rFonts w:hint="eastAsia" w:ascii="宋体" w:hAnsi="宋体" w:eastAsia="宋体"/>
          <w:b w:val="0"/>
          <w:bCs w:val="0"/>
          <w:color w:val="000000"/>
          <w:sz w:val="21"/>
          <w:szCs w:val="21"/>
          <w:highlight w:val="none"/>
          <w:lang w:val="en-US"/>
        </w:rPr>
        <w:t xml:space="preserve">不足三家的情况，按政府采购相关规定执行。</w:t>
      </w:r>
      <w:r/>
    </w:p>
    <w:p>
      <w:pPr>
        <w:ind w:firstLine="422"/>
        <w:jc w:val="left"/>
        <w:spacing w:line="360" w:lineRule="auto"/>
        <w:shd w:val="clear" w:color="auto" w:fill="auto"/>
        <w:widowControl/>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lang w:val="en-US"/>
        </w:rPr>
        <w:t xml:space="preserve">2</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rPr>
        <w:t xml:space="preserve">投标文件的进一步评审</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bookmarkStart w:id="37" w:name="OLE_LINK21"/>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.1</w:t>
      </w:r>
      <w:bookmarkEnd w:id="37"/>
      <w:r>
        <w:rPr>
          <w:rFonts w:hint="eastAsia" w:ascii="宋体" w:hAnsi="宋体" w:eastAsia="宋体"/>
          <w:color w:val="000000"/>
          <w:sz w:val="21"/>
          <w:szCs w:val="21"/>
          <w:highlight w:val="none"/>
        </w:rPr>
        <w:t xml:space="preserve">评标委员会将对确定为实质性响应的投标文件进行进一步评审，其中投标文件报价出现前后不一致的，除招标文件另有规定外，按照下列规定修正：</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（1）《开标一览表》内容与投标文件中相应内容不一致的，以《开标一览表》为准；</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（2）大写金额和小写金额不一致的，以大写金额为准；</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（3）单价金额小数点或者百分比有明显错位的，以《开标一览表》的总价为准，并修改单价；</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（4）总价金额与按单价汇总金额不一致的，以单价金额计算结果为准；</w:t>
      </w:r>
      <w:r/>
    </w:p>
    <w:p>
      <w:pPr>
        <w:ind w:firstLine="420"/>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）同时出现两种以上不一致的，按照前款规定的顺序修正。评标委员会将按上述修正错误的方法调整投标文件中的投标报价，并通过苏采云系统告知</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，调整后的价格对</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具有约束力。如果</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不接受修正后的价格，则其投标将被拒绝。</w:t>
      </w:r>
      <w:r/>
    </w:p>
    <w:p>
      <w:pPr>
        <w:ind w:firstLine="422"/>
        <w:jc w:val="left"/>
        <w:spacing w:line="360" w:lineRule="auto"/>
        <w:shd w:val="clear" w:color="auto" w:fill="auto"/>
        <w:widowControl/>
        <w:rPr>
          <w:rFonts w:hint="eastAsia" w:ascii="仿宋" w:hAnsi="仿宋" w:eastAsia="仿宋" w:cs="仿宋"/>
          <w:b/>
          <w:bCs/>
          <w:color w:val="000000"/>
          <w:sz w:val="21"/>
          <w:szCs w:val="21"/>
          <w:highlight w:val="none"/>
          <w:lang w:val="en-US"/>
        </w:rPr>
        <w:outlineLvl w:val="9"/>
      </w:pPr>
      <w:r/>
      <w:bookmarkStart w:id="38" w:name="OLE_LINK15"/>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5</w:t>
      </w:r>
      <w:r>
        <w:rPr>
          <w:rFonts w:hint="eastAsia" w:ascii="仿宋" w:hAnsi="仿宋" w:eastAsia="仿宋" w:cs="仿宋"/>
          <w:b/>
          <w:bCs/>
          <w:color w:val="000000"/>
          <w:sz w:val="21"/>
          <w:szCs w:val="21"/>
          <w:highlight w:val="none"/>
          <w:lang w:val="en-US"/>
        </w:rPr>
        <w:t xml:space="preserve">.2</w:t>
      </w:r>
      <w:bookmarkEnd w:id="38"/>
      <w:r>
        <w:rPr>
          <w:rFonts w:hint="eastAsia" w:ascii="仿宋" w:hAnsi="仿宋" w:eastAsia="仿宋" w:cs="仿宋"/>
          <w:b/>
          <w:bCs/>
          <w:color w:val="000000"/>
          <w:sz w:val="21"/>
          <w:szCs w:val="21"/>
          <w:highlight w:val="none"/>
          <w:lang w:val="en-US"/>
        </w:rPr>
        <w:t xml:space="preserve">评标委员会认为供应商的报价明显低于其他通过符合性审查供应商的报价（即供应商投标报价低于所有满足招标文件要求的投标报价平均值的70%时），有可能影响产品质量或者不能诚信履约的，评标委员会有权要求供应商通过苏采云系统在合理的时间内提供说明，必要时提交相关证明材料；供应商不能证明其报价合理性的，评标委员会将其作为无效投标处理。</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澄清有关问题</w:t>
      </w:r>
      <w:r/>
    </w:p>
    <w:p>
      <w:pPr>
        <w:ind w:firstLine="420"/>
        <w:jc w:val="left"/>
        <w:spacing w:line="360" w:lineRule="auto"/>
        <w:shd w:val="clear" w:color="auto" w:fill="auto"/>
        <w:widowControl/>
        <w:rPr>
          <w:rFonts w:hint="eastAsia" w:ascii="宋体" w:hAnsi="宋体" w:eastAsia="宋体"/>
          <w:color w:val="000000"/>
          <w:sz w:val="21"/>
          <w:szCs w:val="21"/>
          <w:highlight w:val="none"/>
          <w:lang w:eastAsia="zh-CN"/>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）对于投标文件中含义不明确、同类问题表述不一致或者有明显文字和计算错误的内容，评标委员有权要求</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作出必要的澄清、说明或者补正</w:t>
      </w:r>
      <w:r>
        <w:rPr>
          <w:rFonts w:hint="eastAsia" w:ascii="宋体" w:hAnsi="宋体" w:eastAsia="宋体"/>
          <w:color w:val="000000"/>
          <w:sz w:val="21"/>
          <w:szCs w:val="21"/>
          <w:highlight w:val="none"/>
          <w:lang w:eastAsia="zh-CN"/>
        </w:rPr>
        <w:t xml:space="preserve">。</w:t>
      </w:r>
      <w:r/>
    </w:p>
    <w:p>
      <w:pPr>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（2）</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的澄清、说明或者补正不得超出投标文件的范围或者改变投标文件的实质性内容。</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评标委员会并非对每个</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都做澄清要求。</w:t>
      </w:r>
      <w:r/>
    </w:p>
    <w:p>
      <w:pPr>
        <w:ind w:firstLine="420"/>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val="en-US"/>
        </w:rPr>
        <w:t xml:space="preserve">需要</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进行澄清、说明和补正的，评标委员会将通过苏采云系统向</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发出《澄清要求函》，接到《澄清要求函》的</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rPr>
        <w:t xml:space="preserve">接到评标委员会澄清、说明和补正要求的</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如未按规定作出澄清、说明和补正，其风险由</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自行承担。</w:t>
      </w:r>
      <w:r/>
    </w:p>
    <w:p>
      <w:pPr>
        <w:ind w:firstLine="422"/>
        <w:jc w:val="left"/>
        <w:spacing w:line="360" w:lineRule="auto"/>
        <w:shd w:val="clear" w:color="auto" w:fill="auto"/>
        <w:widowControl/>
        <w:rPr>
          <w:rFonts w:hint="eastAsia" w:ascii="宋体" w:hAnsi="宋体" w:eastAsia="宋体"/>
          <w:b/>
          <w:bCs/>
          <w:color w:val="000000"/>
          <w:sz w:val="21"/>
          <w:szCs w:val="21"/>
          <w:highlight w:val="none"/>
          <w:lang w:val="en-US"/>
        </w:rPr>
        <w:outlineLvl w:val="9"/>
      </w:pPr>
      <w:r>
        <w:rPr>
          <w:rFonts w:hint="eastAsia" w:ascii="宋体" w:hAnsi="宋体" w:eastAsia="宋体"/>
          <w:b/>
          <w:bCs/>
          <w:color w:val="000000"/>
          <w:sz w:val="21"/>
          <w:szCs w:val="21"/>
          <w:highlight w:val="none"/>
          <w:lang w:val="en-US"/>
        </w:rPr>
        <w:t xml:space="preserve">21.2.5.</w:t>
      </w:r>
      <w:r>
        <w:rPr>
          <w:rFonts w:hint="eastAsia" w:ascii="宋体" w:hAnsi="宋体" w:eastAsia="宋体"/>
          <w:b/>
          <w:bCs/>
          <w:color w:val="000000"/>
          <w:sz w:val="21"/>
          <w:szCs w:val="21"/>
          <w:highlight w:val="none"/>
          <w:lang w:val="en-US" w:eastAsia="zh-CN"/>
        </w:rPr>
        <w:t xml:space="preserve">4供应商</w:t>
      </w:r>
      <w:r>
        <w:rPr>
          <w:rFonts w:hint="eastAsia" w:ascii="宋体" w:hAnsi="宋体" w:eastAsia="宋体"/>
          <w:b/>
          <w:bCs/>
          <w:color w:val="000000"/>
          <w:sz w:val="21"/>
          <w:szCs w:val="21"/>
          <w:highlight w:val="none"/>
          <w:lang w:val="en-US"/>
        </w:rPr>
        <w:t xml:space="preserve">在开、评标全过程中应保持通讯畅通，及时登录苏采云系统查阅、答复相关信息，并安排专人与采购代理机构及评标委员会联系。</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比较与评价。评标委员会将按照招标文件中规定的评标方法和标准，对资格性审查和符合性审查合格的投标文件进行商务和技术评估，综合比较与评价。</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相同品牌产品投标要求</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采用最低评标价法的采购项目：提供相同品牌产品的不同供应商参加本项目投标的，以其中通过资格审查、符合性审查且报价最低的参加评标；报价相同的，由采购人或者采购人委托评标委员会按照随机抽取的方式确定一个参加评标的供应商，其他投标无效；</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（3）非单一产品采购项目，以提供的核心产品品牌为准，核心产品详见第五章采购项目需求。多家供应商提供的核心产品品牌相同的，按前两款规定处理；</w:t>
      </w:r>
      <w:r/>
    </w:p>
    <w:p>
      <w:pPr>
        <w:ind w:firstLine="420"/>
        <w:spacing w:line="360" w:lineRule="auto"/>
        <w:shd w:val="clear" w:color="auto" w:fill="auto"/>
        <w:widowControl/>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4）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spacing w:line="360" w:lineRule="auto"/>
        <w:shd w:val="clear" w:color="auto" w:fill="auto"/>
        <w:widowControl/>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.3评标方法和标准</w:t>
      </w:r>
      <w:r/>
    </w:p>
    <w:p>
      <w:pPr>
        <w:ind w:firstLine="420"/>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.3.1</w:t>
      </w:r>
      <w:r>
        <w:rPr>
          <w:rFonts w:hint="eastAsia" w:ascii="宋体" w:hAnsi="宋体" w:eastAsia="宋体"/>
          <w:color w:val="000000"/>
          <w:sz w:val="21"/>
          <w:szCs w:val="21"/>
          <w:highlight w:val="none"/>
          <w:lang w:val="en-US"/>
        </w:rPr>
        <w:t xml:space="preserve">评标方法分为综合评分法和最低评标价法。本次招标采用的评标方法和标准详见本招标文件第四章。</w:t>
      </w:r>
      <w:r/>
    </w:p>
    <w:p>
      <w:pPr>
        <w:ind w:firstLine="420"/>
        <w:jc w:val="left"/>
        <w:spacing w:line="360" w:lineRule="auto"/>
        <w:shd w:val="clear" w:color="auto" w:fill="auto"/>
        <w:widowControl/>
        <w:tabs>
          <w:tab w:val="left" w:pos="3011" w:leader="none"/>
        </w:tabs>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综合评分法</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）综合评分法是指投标文件满足招标文件全部实质性要求，且按照评审因素的量化指标评审得分最高的供应商为中标候选人的评标方法。</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采用</w:t>
      </w:r>
      <w:r>
        <w:rPr>
          <w:rFonts w:hint="eastAsia" w:ascii="宋体" w:hAnsi="宋体" w:eastAsia="宋体"/>
          <w:color w:val="000000"/>
          <w:sz w:val="21"/>
          <w:szCs w:val="21"/>
          <w:highlight w:val="none"/>
        </w:rPr>
        <w:t xml:space="preserve">综合评分法评标时，评标委员会各成员将独立对每个供应商的投标文件进行评价，并汇总每个供应商的得分。</w:t>
      </w:r>
      <w:r/>
    </w:p>
    <w:p>
      <w:pPr>
        <w:ind w:firstLine="420"/>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）评标过程中，不得去掉报价中的最高报价和最低报价。因落实政府采购政策进行价格调整的，以调整后的价格计算评标基准价和投标报价。</w:t>
      </w:r>
      <w:r/>
    </w:p>
    <w:p>
      <w:pPr>
        <w:ind w:firstLine="420"/>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.3.3</w:t>
      </w:r>
      <w:r>
        <w:rPr>
          <w:rFonts w:hint="eastAsia" w:ascii="宋体" w:hAnsi="宋体" w:eastAsia="宋体"/>
          <w:color w:val="000000"/>
          <w:sz w:val="21"/>
          <w:szCs w:val="21"/>
          <w:highlight w:val="none"/>
        </w:rPr>
        <w:t xml:space="preserve">最低评标价法</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）最低评标价法是指投标文件满足招标文件全部实质性要求，且投标报价最低的供应商为中标候选人的评标方法。</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）采用最低评标价法评标时，除了算术修正和落实政府采购政策需进行的价格扣除外，不对供应商的投标价格进行任何调整。</w:t>
      </w:r>
      <w:r/>
    </w:p>
    <w:p>
      <w:pPr>
        <w:ind w:firstLine="422"/>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b/>
          <w:bCs/>
          <w:color w:val="000000"/>
          <w:sz w:val="21"/>
          <w:szCs w:val="21"/>
          <w:highlight w:val="none"/>
          <w:lang w:val="en-US"/>
        </w:rPr>
        <w:t xml:space="preserve">2</w:t>
      </w:r>
      <w:r>
        <w:rPr>
          <w:rFonts w:hint="eastAsia" w:ascii="宋体" w:hAnsi="宋体" w:eastAsia="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lang w:val="en-US"/>
        </w:rPr>
        <w:t xml:space="preserve">、确定中标供应商</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采用最低评标价法的，评标结果按投标报价由低到高顺序排列。投标报价相同的并列。投标文件满足招标文件全部实质性要求且投标报价最低的供应商为排名第一的中标候选人。</w:t>
      </w:r>
      <w:r/>
    </w:p>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rPr>
        <w:t xml:space="preserve">3中标候选人确定后，默认</w:t>
      </w:r>
      <w:r>
        <w:rPr>
          <w:rFonts w:hint="eastAsia" w:ascii="宋体" w:hAnsi="宋体" w:eastAsia="宋体"/>
          <w:b/>
          <w:bCs/>
          <w:color w:val="000000"/>
          <w:sz w:val="21"/>
          <w:szCs w:val="21"/>
          <w:highlight w:val="none"/>
        </w:rPr>
        <w:t xml:space="preserve">按照以下第（1）种方式确定中标供应商：</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（1）评标委员会直接确定排名第一的中标候选人为中标供应商；</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（2）采购人</w:t>
      </w:r>
      <w:r>
        <w:rPr>
          <w:rFonts w:hint="eastAsia" w:ascii="宋体" w:hAnsi="宋体" w:eastAsia="宋体"/>
          <w:color w:val="000000"/>
          <w:sz w:val="21"/>
          <w:szCs w:val="21"/>
          <w:highlight w:val="none"/>
          <w:lang w:val="en-US"/>
        </w:rPr>
        <w:t xml:space="preserve">在评标报告确定的中标候选人名单中按顺序确定中标供应商。</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如按照第（</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）种方式确定中标供应商的，</w:t>
      </w:r>
      <w:r>
        <w:rPr>
          <w:rFonts w:hint="eastAsia" w:ascii="宋体" w:hAnsi="宋体" w:eastAsia="宋体"/>
          <w:color w:val="000000"/>
          <w:sz w:val="21"/>
          <w:szCs w:val="21"/>
          <w:highlight w:val="none"/>
          <w:lang w:val="en-US"/>
        </w:rPr>
        <w:t xml:space="preserve">采购代理机构在评标结束后2个工作日内将评标报告送交采购人。采购人自收到评标报告5个工作日内，在评标报告确定的中标候选人名单中按顺序确定中标供应商。</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.4采购代理机构自</w:t>
      </w:r>
      <w:r>
        <w:rPr>
          <w:rFonts w:hint="eastAsia" w:ascii="宋体" w:hAnsi="宋体" w:eastAsia="宋体"/>
          <w:color w:val="000000"/>
          <w:sz w:val="21"/>
          <w:szCs w:val="21"/>
          <w:highlight w:val="none"/>
        </w:rPr>
        <w:t xml:space="preserve">中标供应商确定之日起2个工作日内，在财政部门指定的媒体上公告中标结果，中标公告期限为1个工作日，公告的同时向中标供应商发出中标通知书。</w:t>
      </w:r>
      <w:r/>
    </w:p>
    <w:p>
      <w:pPr>
        <w:spacing w:line="360" w:lineRule="auto"/>
        <w:shd w:val="clear" w:color="auto" w:fill="auto"/>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    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.5中标通知书对采购人和中标供应商具有同等法律效力。</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.6中标通知书发出后，中标供应商无正当理由不与采购人签订合同的，视情节严重，由财政部门将其列入不良行为记录名单，在一至三年内禁止参加政府采购活动，并予以通报。</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.7采用综合评分法评审的，评审结束后，采购代理机构将告知未中标供应商本人的评审得分与排序，但无义务向其解释未中标的原因。</w:t>
      </w:r>
      <w:r/>
    </w:p>
    <w:p>
      <w:pPr>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 2</w:t>
      </w:r>
      <w:r>
        <w:rPr>
          <w:rFonts w:hint="eastAsia" w:ascii="宋体" w:hAnsi="宋体" w:eastAsia="宋体"/>
          <w:b/>
          <w:color w:val="000000"/>
          <w:sz w:val="21"/>
          <w:szCs w:val="21"/>
          <w:highlight w:val="none"/>
          <w:lang w:val="en-US" w:eastAsia="zh-CN"/>
        </w:rPr>
        <w:t xml:space="preserve">3</w:t>
      </w:r>
      <w:r>
        <w:rPr>
          <w:rFonts w:hint="eastAsia" w:ascii="宋体" w:hAnsi="宋体" w:eastAsia="宋体"/>
          <w:b/>
          <w:color w:val="000000"/>
          <w:sz w:val="21"/>
          <w:szCs w:val="21"/>
          <w:highlight w:val="none"/>
        </w:rPr>
        <w:t xml:space="preserve">、评标过程的保密性</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.1采购代理机构将采取必要措施，保证评标在严格保密的情况下进行。</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任何单位和个人不得非法干预、影响评标办法的确定，以及评标过程和结果。</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凡是与审查、澄清、评价和比较投标的有关资料等，均不向供应商及与评标无关的人员透露。</w:t>
      </w:r>
      <w:r/>
    </w:p>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五、签订合同</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4</w:t>
      </w:r>
      <w:r>
        <w:rPr>
          <w:rFonts w:hint="eastAsia" w:ascii="宋体" w:hAnsi="宋体" w:eastAsia="宋体"/>
          <w:b/>
          <w:bCs/>
          <w:color w:val="000000"/>
          <w:sz w:val="21"/>
          <w:szCs w:val="21"/>
          <w:highlight w:val="none"/>
        </w:rPr>
        <w:t xml:space="preserve">、签订合同</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中标供应商应当自中标通知书发出之日起30日内，按照招标文件和其投标文件的规定，与采购人签订政府采购合同。所签订的合同不得对招标文件确定的事项和中标供应商投标文件作实质性修改。</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采购人不得向中标供应商提出任何不合理的要求作为签订合同的条件，不得与中标供应商私下订立背离合同实质性内容的协议。</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政府采购合同履行中，采购人需追加与合同标的相同货物的，在不改变合同其他条款的前提下，可以与供应商协商签订补充合同，但所有补充合同的采购金额不得超过原合同采购金额的百分之十。</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.5采购人与中标供应商应当根据合同的约定依法履行政府采购合同义务。</w:t>
      </w:r>
      <w:r/>
    </w:p>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六、询问、质疑、投诉和诚实信用</w:t>
      </w:r>
      <w:r/>
    </w:p>
    <w:p>
      <w:pPr>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lang w:val="en-US"/>
        </w:rPr>
        <w:t xml:space="preserve">、</w:t>
      </w:r>
      <w:r>
        <w:rPr>
          <w:rFonts w:hint="eastAsia" w:ascii="宋体" w:hAnsi="宋体" w:eastAsia="宋体"/>
          <w:b/>
          <w:bCs/>
          <w:color w:val="000000"/>
          <w:sz w:val="21"/>
          <w:szCs w:val="21"/>
          <w:highlight w:val="none"/>
        </w:rPr>
        <w:t xml:space="preserve">询问</w:t>
      </w:r>
      <w:r/>
    </w:p>
    <w:p>
      <w:pPr>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.1供应商对招标活动事项有疑问的，可以依法向采购代理机构或采购人提出询问，采购代理机构或采购人将在两个工作日内作出答复，但答复的内容不涉及商业秘密</w:t>
      </w:r>
      <w:r>
        <w:rPr>
          <w:rFonts w:hint="eastAsia" w:ascii="宋体" w:hAnsi="宋体" w:eastAsia="宋体"/>
          <w:bCs/>
          <w:color w:val="000000"/>
          <w:sz w:val="21"/>
          <w:szCs w:val="21"/>
          <w:highlight w:val="none"/>
        </w:rPr>
        <w:t xml:space="preserve">。</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eastAsia="zh-CN"/>
        </w:rPr>
        <w:t xml:space="preserve">6</w:t>
      </w:r>
      <w:r>
        <w:rPr>
          <w:rFonts w:hint="eastAsia" w:ascii="宋体" w:hAnsi="宋体" w:eastAsia="宋体"/>
          <w:b/>
          <w:bCs/>
          <w:color w:val="000000"/>
          <w:sz w:val="21"/>
          <w:szCs w:val="21"/>
          <w:highlight w:val="none"/>
        </w:rPr>
        <w:t xml:space="preserve">、质疑</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.1供应商认为招标文件、采购过程、中标结果使自己的权益受到损害的，可以在知道或者应知其权益受到损害之日起七个工作日内，以书面形式向采购人、采购代理机构提出质疑。</w:t>
      </w:r>
      <w:r/>
    </w:p>
    <w:p>
      <w:pPr>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.2供应商的质疑行为应符合《政府采购质疑和投诉办法》（财政部令第94号）相关规定，提出质疑的供应商应当是参与项目采购活动的供应商，潜在供应商已依法获取招标文件的，可以对招标文件提出质疑。</w:t>
      </w:r>
      <w:r/>
    </w:p>
    <w:p>
      <w:pPr>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.3供应商应知其权益受到损害之日，是指：</w:t>
      </w:r>
      <w:r/>
    </w:p>
    <w:p>
      <w:pPr>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（1）对招标文件提出质疑的，自获取招标文件或招标文件公告期限届满之日起计算；</w:t>
      </w:r>
      <w:r/>
    </w:p>
    <w:p>
      <w:pPr>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（2）对采购过程提出质疑的，自各采购程序环节结束之日起计算；</w:t>
      </w:r>
      <w:r/>
    </w:p>
    <w:p>
      <w:pPr>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（3）对中标结果提出质疑的，自中标结果公告期限届满之日起计算。  </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供应商应在法定质疑期内一次性提出针对同一采购程序环节的质疑。</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供应商提出质疑应当提交质疑函和必要的证明材料。质疑函应当包括下列内容：</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）供应商的姓名或者名称、地址、邮编、联系人及联系电话；</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）质疑项目的名称、编号；</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）具体、明确的质疑事项和与质疑事项相关的请求（具体条款）；</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）事实依据（具体条款）；</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）必要的法律依据（具体条款）；</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）提出质疑的日期。</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.7质疑材料接收信息：</w:t>
      </w:r>
      <w:r/>
    </w:p>
    <w:p>
      <w:pP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（1）接收单位：采购代理机构</w:t>
      </w:r>
      <w:r/>
    </w:p>
    <w:p>
      <w:pPr>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    （2）联 系 人：</w:t>
      </w:r>
      <w:r>
        <w:rPr>
          <w:rFonts w:hint="eastAsia" w:ascii="宋体" w:hAnsi="宋体" w:eastAsia="宋体"/>
          <w:color w:val="000000"/>
          <w:sz w:val="21"/>
          <w:szCs w:val="21"/>
          <w:highlight w:val="none"/>
          <w:lang w:val="en-US" w:eastAsia="zh-CN"/>
        </w:rPr>
        <w:t xml:space="preserve">宗工</w:t>
      </w:r>
      <w:r/>
    </w:p>
    <w:p>
      <w:pPr>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    （3）联系电话：</w:t>
      </w:r>
      <w:r>
        <w:rPr>
          <w:rFonts w:hint="eastAsia" w:ascii="宋体" w:hAnsi="宋体" w:eastAsia="宋体"/>
          <w:color w:val="000000"/>
          <w:sz w:val="21"/>
          <w:szCs w:val="21"/>
          <w:highlight w:val="none"/>
          <w:lang w:eastAsia="zh-CN"/>
        </w:rPr>
        <w:t xml:space="preserve">15951894337</w:t>
      </w:r>
      <w:r/>
    </w:p>
    <w:p>
      <w:pP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（4）联系邮箱：307256142@qq.com</w:t>
      </w:r>
      <w:r/>
    </w:p>
    <w:p>
      <w:pPr>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    （5）接收地址：</w:t>
      </w:r>
      <w:r>
        <w:rPr>
          <w:rFonts w:hint="eastAsia" w:ascii="宋体" w:hAnsi="宋体" w:eastAsia="宋体"/>
          <w:color w:val="000000"/>
          <w:sz w:val="21"/>
          <w:szCs w:val="21"/>
          <w:highlight w:val="none"/>
          <w:lang w:val="en-US" w:eastAsia="zh-CN"/>
        </w:rPr>
        <w:t xml:space="preserve">南京市鼓楼区汉中门大街309号港湾中心B座6层</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8采购</w:t>
      </w:r>
      <w:r>
        <w:rPr>
          <w:rFonts w:hint="eastAsia" w:ascii="宋体" w:hAnsi="宋体" w:eastAsia="宋体"/>
          <w:color w:val="000000"/>
          <w:sz w:val="21"/>
          <w:szCs w:val="21"/>
          <w:highlight w:val="none"/>
        </w:rPr>
        <w:t xml:space="preserve">代理机构在收到供应商的书面质疑后将及时组织调查核实，在七个工作日内作出答复，并以书面或电子邮件形式通知质疑供应商和其他有关供应商，答复的内容不涉及商业秘密。</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27</w:t>
      </w:r>
      <w:r>
        <w:rPr>
          <w:rFonts w:hint="eastAsia" w:ascii="宋体" w:hAnsi="宋体" w:eastAsia="宋体"/>
          <w:b/>
          <w:bCs/>
          <w:color w:val="000000"/>
          <w:sz w:val="21"/>
          <w:szCs w:val="21"/>
          <w:highlight w:val="none"/>
        </w:rPr>
        <w:t xml:space="preserve">、投诉</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27</w:t>
      </w:r>
      <w:r>
        <w:rPr>
          <w:rFonts w:hint="eastAsia" w:ascii="宋体" w:hAnsi="宋体" w:eastAsia="宋体"/>
          <w:color w:val="000000"/>
          <w:sz w:val="21"/>
          <w:szCs w:val="21"/>
          <w:highlight w:val="none"/>
        </w:rPr>
        <w:t xml:space="preserve">.1质疑供应商对采购代理机构的答复不满意或者采购代理机构未在规定的时间内作出答复的，可以在答复期满后十五个工作日内向同级政府采购监督管理部门投诉。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27</w:t>
      </w:r>
      <w:r>
        <w:rPr>
          <w:rFonts w:hint="eastAsia" w:ascii="宋体" w:hAnsi="宋体" w:eastAsia="宋体"/>
          <w:color w:val="000000"/>
          <w:sz w:val="21"/>
          <w:szCs w:val="21"/>
          <w:highlight w:val="none"/>
          <w:lang w:val="en-US"/>
        </w:rPr>
        <w:t xml:space="preserve">.2质疑</w:t>
      </w:r>
      <w:r>
        <w:rPr>
          <w:rFonts w:hint="eastAsia" w:ascii="宋体" w:hAnsi="宋体" w:eastAsia="宋体"/>
          <w:color w:val="000000"/>
          <w:sz w:val="21"/>
          <w:szCs w:val="21"/>
          <w:highlight w:val="none"/>
        </w:rPr>
        <w:t xml:space="preserve">供应商的投诉应当有明确的请求和必要的证明材料，其投诉的事项不得超出已质疑事项的范围。</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27.3投诉人对政府采购监督管理部门的投诉处理决定不服或者政府采购监督管理部门逾期未作处理的，可以依法申请行政复议或者向人民法院提起行政诉讼。</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27.4投诉人在全国范围12个月内3次以上投诉查无实据的，由财政部门列入不良行为记录名单。</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27.5投诉人有下列行为之一的，属于虚假、恶意投诉，由财政部门列入不良行为记录名单，禁止其1至3年内参加政府采购活动：</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（1）捏造事实；</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（2）提供虚假材料；</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（3）以非法手段取得证明材料。证据来源的合法性存在明显疑问，投诉人无法证明其取得方式合法的，视为以非法手段取得证明材料。</w:t>
      </w:r>
      <w:r/>
    </w:p>
    <w:p>
      <w:pPr>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lang w:val="en-US" w:eastAsia="zh-CN"/>
        </w:rPr>
        <w:t xml:space="preserve">28</w:t>
      </w:r>
      <w:r>
        <w:rPr>
          <w:rFonts w:hint="eastAsia" w:ascii="宋体" w:hAnsi="宋体" w:eastAsia="宋体"/>
          <w:b/>
          <w:bCs/>
          <w:color w:val="000000"/>
          <w:sz w:val="21"/>
          <w:szCs w:val="21"/>
          <w:highlight w:val="none"/>
        </w:rPr>
        <w:t xml:space="preserve">、诚实信用</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lang w:val="en-US" w:eastAsia="zh-CN"/>
        </w:rPr>
        <w:t xml:space="preserve">28</w:t>
      </w:r>
      <w:r>
        <w:rPr>
          <w:rFonts w:hint="eastAsia" w:ascii="宋体" w:hAnsi="宋体" w:eastAsia="宋体"/>
          <w:color w:val="000000"/>
          <w:sz w:val="21"/>
          <w:szCs w:val="21"/>
          <w:highlight w:val="none"/>
        </w:rPr>
        <w:t xml:space="preserve">.1供应商之间不得相互串通投标报价，不得妨碍其他供应商的公平竞争，不得损害采购人和其他供应商的合法权益。</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lang w:val="en-US" w:eastAsia="zh-CN"/>
        </w:rPr>
        <w:t xml:space="preserve">28</w:t>
      </w:r>
      <w:r>
        <w:rPr>
          <w:rFonts w:hint="eastAsia" w:ascii="宋体" w:hAnsi="宋体" w:eastAsia="宋体"/>
          <w:color w:val="000000"/>
          <w:sz w:val="21"/>
          <w:szCs w:val="21"/>
          <w:highlight w:val="none"/>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28</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供应商不得虚假承诺，否则，按照提供虚假材料谋取中标成交处理。</w:t>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lang w:val="en-US" w:eastAsia="zh-CN"/>
        </w:rPr>
        <w:t xml:space="preserve">28</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供应商应自觉遵守开标、评标纪律，扰乱开标评标现场秩序的，属于失信行为，根据《南京市政府采购供应商信用管理工作暂行办法》、《江苏省政府采购供应商监督管理暂行办法》，失信行为将被记入供应商诚信档案。</w:t>
      </w:r>
      <w:r/>
    </w:p>
    <w:p>
      <w:pPr>
        <w:jc w:val="center"/>
        <w:spacing w:line="360" w:lineRule="auto"/>
        <w:shd w:val="clear" w:color="auto" w:fill="auto"/>
        <w:rPr>
          <w:rFonts w:ascii="黑体" w:hAnsi="宋体" w:eastAsia="黑体"/>
          <w:color w:val="000000"/>
          <w:sz w:val="32"/>
          <w:szCs w:val="32"/>
          <w:highlight w:val="none"/>
        </w:rPr>
        <w:outlineLvl w:val="0"/>
      </w:pPr>
      <w:r>
        <w:rPr>
          <w:rFonts w:hint="eastAsia" w:ascii="宋体" w:hAnsi="宋体"/>
          <w:b/>
          <w:color w:val="000000"/>
          <w:sz w:val="32"/>
          <w:szCs w:val="44"/>
          <w:highlight w:val="none"/>
        </w:rPr>
        <w:br w:type="page" w:clear="all"/>
      </w:r>
      <w:bookmarkStart w:id="39" w:name="_Toc381716887"/>
      <w:r>
        <w:rPr>
          <w:rFonts w:hint="eastAsia" w:ascii="黑体" w:hAnsi="宋体" w:eastAsia="黑体"/>
          <w:color w:val="000000"/>
          <w:sz w:val="32"/>
          <w:szCs w:val="32"/>
          <w:highlight w:val="none"/>
        </w:rPr>
        <w:t xml:space="preserve">第三章  纪律和</w:t>
      </w:r>
      <w:bookmarkEnd w:id="39"/>
      <w:r>
        <w:rPr>
          <w:rFonts w:hint="eastAsia" w:ascii="黑体" w:hAnsi="宋体" w:eastAsia="黑体"/>
          <w:color w:val="000000"/>
          <w:sz w:val="32"/>
          <w:szCs w:val="32"/>
          <w:highlight w:val="none"/>
        </w:rPr>
        <w:t xml:space="preserve">职责</w:t>
      </w:r>
      <w:r/>
    </w:p>
    <w:p>
      <w:pPr>
        <w:ind w:firstLine="211"/>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一、采购代理机构负责组织评标工作，并履行下列职责：</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（一）核对评审专家身份和采购人代表授权函，对评审专家在政府采购活动中的职责履行情况予以记录，并及时将有关违法违规行为向财政部门报告。</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（二）宣布评标纪律。</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（三）公布供应商名单，告知评审专家应当回避的情形。</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（四）组织评标委员会推选评标组长，采购人代表不得担任组长。</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（五）在评标期间采取必要的通讯管理措施，保证评标活动不受外界干扰。</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（六）根据评标委员会的要求介绍政府采购相关政策法规、招标文件。</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（七）维护评标秩序，监督评标委员会依照招标文件规定的评标程序、方法和标准进行独立评审，及时制止和纠正采购人代表、评审专家的倾向性言论或者违法违规行为。</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（八）核对评标结果，如出现《政府采购货物和服务招标投标管理办法》第六十四条关于评标结果修正情形的，要求评标委员会复核或者说明理由，评标委员会拒绝的，应予记录并向财政部门报告。</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（九）评审工作完成后，按照规定向评审专家支付劳务报酬和异地评审差旅费，不得向评审专家以外的其他人员支付评审劳务报酬。</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（十）处理与评标有关的其他事项。</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（十一）采购人可以在评标前说明项目背景和采购需求，说明内容不得含有歧视性、倾向性意见，不得超出招标文件所述范围。</w:t>
      </w:r>
      <w:r/>
    </w:p>
    <w:p>
      <w:pPr>
        <w:ind w:firstLine="211"/>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二、评标委员会及其成员不得有下列行为：</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（一）确定参与评标至评标结束前私自接触供应商。</w:t>
      </w:r>
      <w:r/>
    </w:p>
    <w:p>
      <w:pP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（二）接受供应商提出的与投标文件不一致的澄清或者说明，第二章21.2.5.1规定的情形除外。</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（三）违反评标纪律发表倾向性意见或者征询采购人的倾向性意见。</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（四）对需要专业判断的主观评审因素协商评分。</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（五）在评标过程中擅离职守，影响评标程序正常进行的。</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（六）记录、复制或者带走任何评标资料。</w:t>
      </w:r>
      <w:r/>
    </w:p>
    <w:p>
      <w:pPr>
        <w:ind w:firstLine="21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（七）其他不遵守评标纪律的行为。</w:t>
      </w:r>
      <w:r/>
    </w:p>
    <w:p>
      <w:pPr>
        <w:ind w:firstLine="240"/>
        <w:jc w:val="center"/>
        <w:spacing w:line="360" w:lineRule="auto"/>
        <w:shd w:val="clear" w:color="auto" w:fill="auto"/>
        <w:rPr>
          <w:rFonts w:hint="eastAsia" w:ascii="黑体" w:hAnsi="黑体" w:eastAsia="黑体" w:cs="黑体"/>
          <w:bCs/>
          <w:color w:val="000000"/>
          <w:sz w:val="32"/>
          <w:szCs w:val="44"/>
          <w:highlight w:val="none"/>
        </w:rPr>
        <w:outlineLvl w:val="0"/>
      </w:pPr>
      <w:r>
        <w:rPr>
          <w:rFonts w:hint="eastAsia" w:ascii="宋体" w:hAnsi="宋体" w:eastAsia="宋体"/>
          <w:color w:val="000000"/>
          <w:sz w:val="24"/>
          <w:szCs w:val="24"/>
          <w:highlight w:val="none"/>
        </w:rPr>
        <w:br w:type="page" w:clear="all"/>
      </w:r>
      <w:r>
        <w:rPr>
          <w:rFonts w:hint="eastAsia" w:ascii="黑体" w:hAnsi="黑体" w:eastAsia="黑体" w:cs="黑体"/>
          <w:bCs/>
          <w:color w:val="000000"/>
          <w:sz w:val="32"/>
          <w:szCs w:val="44"/>
          <w:highlight w:val="none"/>
        </w:rPr>
        <w:t xml:space="preserve">第四章 </w:t>
      </w:r>
      <w:r>
        <w:rPr>
          <w:rFonts w:hint="eastAsia" w:ascii="黑体" w:hAnsi="黑体" w:eastAsia="黑体" w:cs="黑体"/>
          <w:bCs/>
          <w:color w:val="000000"/>
          <w:sz w:val="32"/>
          <w:szCs w:val="44"/>
          <w:highlight w:val="none"/>
          <w:lang w:val="en-US"/>
        </w:rPr>
        <w:t xml:space="preserve"> </w:t>
      </w:r>
      <w:r>
        <w:rPr>
          <w:rFonts w:hint="eastAsia" w:ascii="黑体" w:hAnsi="黑体" w:eastAsia="黑体" w:cs="黑体"/>
          <w:bCs/>
          <w:color w:val="000000"/>
          <w:sz w:val="32"/>
          <w:szCs w:val="44"/>
          <w:highlight w:val="none"/>
        </w:rPr>
        <w:t xml:space="preserve">评标标准</w:t>
      </w:r>
      <w:r/>
    </w:p>
    <w:p>
      <w:pPr>
        <w:ind w:firstLine="422"/>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
          <w:color w:val="000000"/>
          <w:sz w:val="21"/>
          <w:szCs w:val="21"/>
          <w:highlight w:val="none"/>
          <w:lang w:val="en-US"/>
        </w:rPr>
        <w:t xml:space="preserve">一、评标方法：</w:t>
      </w:r>
      <w:r>
        <w:rPr>
          <w:rFonts w:hint="eastAsia" w:ascii="宋体" w:hAnsi="宋体" w:eastAsia="宋体"/>
          <w:bCs/>
          <w:color w:val="000000"/>
          <w:sz w:val="21"/>
          <w:szCs w:val="21"/>
          <w:highlight w:val="none"/>
          <w:lang w:val="en-US"/>
        </w:rPr>
        <w:t xml:space="preserve">本项目评标方法采用</w:t>
      </w:r>
      <w:r>
        <w:rPr>
          <w:rFonts w:hint="eastAsia" w:ascii="宋体" w:hAnsi="宋体" w:eastAsia="宋体"/>
          <w:b/>
          <w:color w:val="000000"/>
          <w:sz w:val="21"/>
          <w:szCs w:val="21"/>
          <w:highlight w:val="none"/>
          <w:u w:val="single"/>
          <w:lang w:val="en-US"/>
        </w:rPr>
        <w:t xml:space="preserve">综合评分法</w:t>
      </w:r>
      <w:r>
        <w:rPr>
          <w:rFonts w:hint="eastAsia" w:ascii="宋体" w:hAnsi="宋体" w:eastAsia="宋体"/>
          <w:bCs/>
          <w:color w:val="000000"/>
          <w:sz w:val="21"/>
          <w:szCs w:val="21"/>
          <w:highlight w:val="none"/>
          <w:lang w:val="en-US"/>
        </w:rPr>
        <w:t xml:space="preserve">，</w:t>
      </w:r>
      <w:r>
        <w:rPr>
          <w:rFonts w:hint="eastAsia" w:ascii="宋体" w:hAnsi="宋体" w:eastAsia="宋体"/>
          <w:color w:val="000000"/>
          <w:sz w:val="21"/>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spacing w:line="360" w:lineRule="auto"/>
        <w:shd w:val="clear" w:color="auto" w:fill="auto"/>
        <w:rPr>
          <w:rFonts w:hint="eastAsia" w:ascii="宋体" w:hAnsi="宋体" w:eastAsia="宋体"/>
          <w:b/>
          <w:color w:val="000000"/>
          <w:sz w:val="21"/>
          <w:szCs w:val="21"/>
          <w:highlight w:val="none"/>
          <w:lang w:val="en-US" w:eastAsia="zh-CN"/>
        </w:rPr>
      </w:pPr>
      <w:r>
        <w:rPr>
          <w:rFonts w:hint="eastAsia" w:ascii="宋体" w:hAnsi="宋体" w:eastAsia="宋体"/>
          <w:b/>
          <w:color w:val="000000"/>
          <w:sz w:val="21"/>
          <w:szCs w:val="21"/>
          <w:highlight w:val="none"/>
          <w:lang w:val="en-US"/>
        </w:rPr>
        <w:t xml:space="preserve">二、评标标准</w:t>
      </w:r>
      <w:r>
        <w:rPr>
          <w:rFonts w:hint="eastAsia" w:ascii="宋体" w:hAnsi="宋体" w:eastAsia="宋体"/>
          <w:b/>
          <w:color w:val="000000"/>
          <w:sz w:val="21"/>
          <w:szCs w:val="21"/>
          <w:highlight w:val="none"/>
        </w:rPr>
        <w:t xml:space="preserve">：</w:t>
      </w:r>
      <w:r>
        <w:rPr>
          <w:rFonts w:hint="eastAsia" w:ascii="宋体" w:hAnsi="宋体" w:eastAsia="宋体"/>
          <w:b/>
          <w:color w:val="000000"/>
          <w:sz w:val="21"/>
          <w:szCs w:val="21"/>
          <w:highlight w:val="none"/>
          <w:lang w:eastAsia="zh-CN"/>
        </w:rPr>
        <w:t xml:space="preserve">分值总和不对</w:t>
      </w:r>
      <w:r/>
    </w:p>
    <w:tbl>
      <w:tblPr>
        <w:tblStyle w:val="783"/>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090"/>
        <w:gridCol w:w="7333"/>
        <w:gridCol w:w="690"/>
      </w:tblGrid>
      <w:tr>
        <w:trPr>
          <w:jc w:val="center"/>
          <w:trHeight w:val="0"/>
        </w:trPr>
        <w:tc>
          <w:tcPr>
            <w:tcW w:w="705"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090"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w:t>
            </w:r>
            <w:r/>
          </w:p>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因素</w:t>
            </w:r>
            <w:r/>
          </w:p>
        </w:tc>
        <w:tc>
          <w:tcPr>
            <w:tcW w:w="7333"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W w:w="690"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0"/>
        </w:trPr>
        <w:tc>
          <w:tcPr>
            <w:tcW w:w="705"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tcW w:w="1090"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价格</w:t>
            </w:r>
            <w:r/>
          </w:p>
        </w:tc>
        <w:tc>
          <w:tcPr>
            <w:tcW w:w="7333" w:type="dxa"/>
            <w:vAlign w:val="center"/>
            <w:textDirection w:val="lrTb"/>
            <w:noWrap w:val="false"/>
          </w:tcPr>
          <w:p>
            <w:pPr>
              <w:ind w:firstLine="21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价格分采用低价优先法计算，即满足招标文件要求且投标价格最低的投标报价为评标基准价，其价格分为满分。</w:t>
            </w:r>
            <w:r/>
          </w:p>
          <w:p>
            <w:pPr>
              <w:ind w:firstLine="21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其他供应商的价格分统一按照下列公式计算</w:t>
            </w:r>
            <w:r>
              <w:rPr>
                <w:rFonts w:hint="eastAsia" w:ascii="宋体" w:hAnsi="宋体" w:eastAsia="宋体" w:cs="宋体"/>
                <w:color w:val="auto"/>
                <w:sz w:val="21"/>
                <w:szCs w:val="21"/>
                <w:highlight w:val="none"/>
              </w:rPr>
              <w:t xml:space="preserve">（小数点保留两位）</w:t>
            </w:r>
            <w:r>
              <w:rPr>
                <w:rFonts w:hint="eastAsia" w:ascii="宋体" w:hAnsi="宋体" w:eastAsia="宋体" w:cs="宋体"/>
                <w:color w:val="auto"/>
                <w:sz w:val="21"/>
                <w:szCs w:val="21"/>
                <w:highlight w:val="none"/>
                <w:lang w:val="en-US"/>
              </w:rPr>
              <w:t xml:space="preserve">：</w:t>
            </w:r>
            <w:r/>
          </w:p>
          <w:p>
            <w:p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投标报价得分=(评标基准价／投标报价)×</w:t>
            </w:r>
            <w:r>
              <w:rPr>
                <w:rFonts w:hint="eastAsia" w:ascii="宋体" w:hAnsi="宋体" w:eastAsia="宋体" w:cs="宋体"/>
                <w:color w:val="auto"/>
                <w:sz w:val="21"/>
                <w:szCs w:val="21"/>
                <w:highlight w:val="none"/>
                <w:lang w:val="en-US" w:eastAsia="zh-CN"/>
              </w:rPr>
              <w:t xml:space="preserve">30。</w:t>
            </w:r>
            <w:r/>
          </w:p>
        </w:tc>
        <w:tc>
          <w:tcPr>
            <w:tcW w:w="690" w:type="dxa"/>
            <w:vAlign w:val="center"/>
            <w:textDirection w:val="lrTb"/>
            <w:noWrap w:val="false"/>
          </w:tcPr>
          <w:p>
            <w:pPr>
              <w:jc w:val="center"/>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r>
      <w:tr>
        <w:trPr>
          <w:jc w:val="center"/>
          <w:trHeight w:val="0"/>
        </w:trPr>
        <w:tc>
          <w:tcPr>
            <w:tcW w:w="705" w:type="dxa"/>
            <w:vAlign w:val="center"/>
            <w:textDirection w:val="lrTb"/>
            <w:noWrap w:val="false"/>
          </w:tcPr>
          <w:p>
            <w:pPr>
              <w:jc w:val="center"/>
              <w:spacing w:line="360" w:lineRule="auto"/>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c>
          <w:tcPr>
            <w:tcW w:w="1090" w:type="dxa"/>
            <w:vAlign w:val="center"/>
            <w:textDirection w:val="lrTb"/>
            <w:noWrap w:val="false"/>
          </w:tcPr>
          <w:p>
            <w:pPr>
              <w:jc w:val="center"/>
              <w:spacing w:line="360" w:lineRule="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技术</w:t>
            </w:r>
            <w:r/>
          </w:p>
        </w:tc>
        <w:tc>
          <w:tcPr>
            <w:tcW w:w="7333" w:type="dxa"/>
            <w:vAlign w:val="center"/>
            <w:textDirection w:val="lrTb"/>
            <w:noWrap w:val="false"/>
          </w:tcPr>
          <w:p>
            <w:pPr>
              <w:numPr>
                <w:ilvl w:val="0"/>
                <w:numId w:val="0"/>
              </w:numPr>
              <w:ind w:firstLine="21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评委根据供应商提供的技术方案进行评分，完全满足招标文件技术指标、参数要求、品质保证等，并能提供详细的技术说明的得15分；每有一项负偏离扣0.5分，扣完为止；严重负偏离影响产品性能的经半数以上评委认定，本项不得分。</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15</w:t>
            </w:r>
            <w:r/>
          </w:p>
        </w:tc>
      </w:tr>
      <w:tr>
        <w:trPr>
          <w:jc w:val="center"/>
          <w:trHeight w:val="0"/>
        </w:trPr>
        <w:tc>
          <w:tcPr>
            <w:tcW w:w="705" w:type="dxa"/>
            <w:vAlign w:val="center"/>
            <w:textDirection w:val="lrTb"/>
            <w:noWrap w:val="false"/>
          </w:tcPr>
          <w:p>
            <w:pPr>
              <w:ind w:right="-24"/>
              <w:jc w:val="center"/>
              <w:spacing w:line="360" w:lineRule="auto"/>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val="en-US"/>
              </w:rPr>
              <w:t xml:space="preserve">.1</w:t>
            </w:r>
            <w:r/>
          </w:p>
        </w:tc>
        <w:tc>
          <w:tcPr>
            <w:tcW w:w="1090"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服务</w:t>
            </w:r>
            <w:r/>
          </w:p>
        </w:tc>
        <w:tc>
          <w:tcPr>
            <w:tcW w:w="7333" w:type="dxa"/>
            <w:vAlign w:val="center"/>
            <w:textDirection w:val="lrTb"/>
            <w:noWrap w:val="false"/>
          </w:tcPr>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评委</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val="en-US" w:eastAsia="zh-CN"/>
              </w:rPr>
              <w:t xml:space="preserve">项目总体服务</w:t>
            </w:r>
            <w:r>
              <w:rPr>
                <w:rFonts w:hint="eastAsia" w:ascii="宋体" w:hAnsi="宋体" w:eastAsia="宋体" w:cs="宋体"/>
                <w:color w:val="auto"/>
                <w:sz w:val="21"/>
                <w:szCs w:val="21"/>
                <w:highlight w:val="none"/>
              </w:rPr>
              <w:t xml:space="preserve">方案进行评审： </w:t>
            </w:r>
            <w:r/>
          </w:p>
          <w:p>
            <w:pPr>
              <w:ind w:firstLine="21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rPr>
              <w:t xml:space="preserve">方案计划条理清晰、脉络分明，内容具体全面，项目管理安排合理高效、操作性强得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分；实施方案计划条理基本清晰，内容基本全面，项目管理安排基本合理，有一定的操作性得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分；实施方案</w:t>
            </w:r>
            <w:r>
              <w:rPr>
                <w:rFonts w:hint="eastAsia" w:ascii="宋体" w:hAnsi="宋体" w:eastAsia="宋体" w:cs="宋体"/>
                <w:color w:val="auto"/>
                <w:sz w:val="21"/>
                <w:szCs w:val="21"/>
                <w:highlight w:val="none"/>
                <w:lang w:val="en-US" w:eastAsia="zh-CN"/>
              </w:rPr>
              <w:t xml:space="preserve">各项内容基本满足项目需求得4分；</w:t>
            </w:r>
            <w:r>
              <w:rPr>
                <w:rFonts w:hint="eastAsia" w:ascii="宋体" w:hAnsi="宋体" w:eastAsia="宋体" w:cs="宋体"/>
                <w:color w:val="auto"/>
                <w:sz w:val="21"/>
                <w:szCs w:val="21"/>
                <w:highlight w:val="none"/>
              </w:rPr>
              <w:t xml:space="preserve">实施方案计划条理性不足，不够全面，项目管理安排操作性不足得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分；不提供</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不得分。</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10</w:t>
            </w:r>
            <w:r/>
          </w:p>
        </w:tc>
      </w:tr>
      <w:tr>
        <w:trPr>
          <w:jc w:val="center"/>
          <w:trHeight w:val="0"/>
        </w:trPr>
        <w:tc>
          <w:tcPr>
            <w:tcW w:w="705" w:type="dxa"/>
            <w:vAlign w:val="center"/>
            <w:textDirection w:val="lrTb"/>
            <w:noWrap w:val="false"/>
          </w:tcPr>
          <w:p>
            <w:pPr>
              <w:ind w:right="-24"/>
              <w:jc w:val="center"/>
              <w:spacing w:line="360" w:lineRule="auto"/>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val="en-US"/>
              </w:rPr>
              <w:t xml:space="preserve">.2</w:t>
            </w:r>
            <w:r/>
          </w:p>
        </w:tc>
        <w:tc>
          <w:tcPr>
            <w:tcW w:w="1090" w:type="dxa"/>
            <w:vAlign w:val="center"/>
            <w:vMerge w:val="continue"/>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7333" w:type="dxa"/>
            <w:vAlign w:val="center"/>
            <w:textDirection w:val="lrTb"/>
            <w:noWrap w:val="false"/>
          </w:tcPr>
          <w:p>
            <w:pPr>
              <w:ind w:firstLine="210"/>
              <w:spacing w:line="360" w:lineRule="auto"/>
              <w:rPr>
                <w:rFonts w:hint="eastAsia" w:ascii="宋体" w:hAnsi="宋体" w:eastAsia="宋体" w:cs="宋体"/>
                <w:color w:val="auto"/>
                <w:sz w:val="21"/>
                <w:szCs w:val="21"/>
                <w:highlight w:val="none"/>
                <w:lang w:eastAsia="zh-CN"/>
              </w:rPr>
            </w:pPr>
            <w:r>
              <w:rPr>
                <w:rFonts w:hint="eastAsia" w:ascii="宋体" w:hAnsi="宋体" w:eastAsia="宋体"/>
                <w:bCs/>
                <w:color w:val="auto"/>
                <w:sz w:val="21"/>
                <w:szCs w:val="21"/>
                <w:highlight w:val="none"/>
                <w:lang w:val="en-US" w:eastAsia="zh-CN"/>
              </w:rPr>
              <w:t xml:space="preserve">评委</w:t>
            </w:r>
            <w:r>
              <w:rPr>
                <w:rFonts w:hint="eastAsia" w:ascii="宋体" w:hAnsi="宋体" w:eastAsia="宋体"/>
                <w:bCs/>
                <w:color w:val="auto"/>
                <w:sz w:val="21"/>
                <w:szCs w:val="21"/>
                <w:highlight w:val="none"/>
                <w:lang w:val="en-US"/>
              </w:rPr>
              <w:t xml:space="preserve">根据供应商提供的全年物资耗材供应响应</w:t>
            </w:r>
            <w:r>
              <w:rPr>
                <w:rFonts w:hint="eastAsia" w:ascii="宋体" w:hAnsi="宋体" w:eastAsia="宋体"/>
                <w:bCs/>
                <w:color w:val="auto"/>
                <w:sz w:val="21"/>
                <w:szCs w:val="21"/>
                <w:highlight w:val="none"/>
                <w:lang w:val="en-US" w:eastAsia="zh-CN"/>
              </w:rPr>
              <w:t xml:space="preserve">计划安排</w:t>
            </w:r>
            <w:r>
              <w:rPr>
                <w:rFonts w:hint="eastAsia" w:ascii="宋体" w:hAnsi="宋体" w:eastAsia="宋体"/>
                <w:bCs/>
                <w:color w:val="auto"/>
                <w:sz w:val="21"/>
                <w:szCs w:val="21"/>
                <w:highlight w:val="none"/>
                <w:lang w:val="en-US"/>
              </w:rPr>
              <w:t xml:space="preserve">、配送方案、供货渠道等</w:t>
            </w:r>
            <w:r>
              <w:rPr>
                <w:rFonts w:hint="eastAsia" w:ascii="宋体" w:hAnsi="宋体" w:eastAsia="宋体"/>
                <w:bCs/>
                <w:color w:val="auto"/>
                <w:sz w:val="21"/>
                <w:szCs w:val="21"/>
                <w:highlight w:val="none"/>
                <w:lang w:val="en-US" w:eastAsia="zh-CN"/>
              </w:rPr>
              <w:t xml:space="preserve">（附有必要的证明材料，如服务队伍、运输能力、品牌授权等）</w:t>
            </w:r>
            <w:r>
              <w:rPr>
                <w:rFonts w:hint="eastAsia" w:ascii="宋体" w:hAnsi="宋体" w:eastAsia="宋体"/>
                <w:bCs/>
                <w:color w:val="auto"/>
                <w:sz w:val="21"/>
                <w:szCs w:val="21"/>
                <w:highlight w:val="none"/>
                <w:lang w:val="en-US"/>
              </w:rPr>
              <w:t xml:space="preserve">进行</w:t>
            </w:r>
            <w:r>
              <w:rPr>
                <w:rFonts w:hint="eastAsia" w:ascii="宋体" w:hAnsi="宋体" w:eastAsia="宋体" w:cs="宋体"/>
                <w:color w:val="auto"/>
                <w:sz w:val="21"/>
                <w:szCs w:val="21"/>
                <w:highlight w:val="none"/>
              </w:rPr>
              <w:t xml:space="preserve">评审</w:t>
            </w:r>
            <w:r>
              <w:rPr>
                <w:rFonts w:hint="eastAsia" w:ascii="宋体" w:hAnsi="宋体" w:eastAsia="宋体" w:cs="宋体"/>
                <w:color w:val="auto"/>
                <w:sz w:val="21"/>
                <w:szCs w:val="21"/>
                <w:highlight w:val="none"/>
                <w:lang w:eastAsia="zh-CN"/>
              </w:rPr>
              <w:t xml:space="preserve">：</w:t>
            </w:r>
            <w:r/>
          </w:p>
          <w:p>
            <w:pPr>
              <w:ind w:firstLine="21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rPr>
              <w:t xml:space="preserve">整体安排合理</w:t>
            </w:r>
            <w:r>
              <w:rPr>
                <w:rFonts w:hint="eastAsia" w:ascii="宋体" w:hAnsi="宋体" w:eastAsia="宋体" w:cs="宋体"/>
                <w:color w:val="auto"/>
                <w:sz w:val="21"/>
                <w:szCs w:val="21"/>
                <w:highlight w:val="none"/>
                <w:lang w:eastAsia="zh-CN"/>
              </w:rPr>
              <w:t xml:space="preserve">，</w:t>
            </w:r>
            <w:r>
              <w:rPr>
                <w:rFonts w:hint="eastAsia" w:ascii="宋体" w:hAnsi="宋体" w:eastAsia="宋体"/>
                <w:color w:val="auto"/>
                <w:sz w:val="21"/>
                <w:szCs w:val="21"/>
                <w:highlight w:val="none"/>
              </w:rPr>
              <w:t xml:space="preserve">方案全面、科学合理，可行性</w:t>
            </w:r>
            <w:r>
              <w:rPr>
                <w:rFonts w:hint="eastAsia" w:ascii="宋体" w:hAnsi="宋体" w:eastAsia="宋体"/>
                <w:color w:val="auto"/>
                <w:sz w:val="21"/>
                <w:szCs w:val="21"/>
                <w:highlight w:val="none"/>
                <w:lang w:val="en-US"/>
              </w:rPr>
              <w:t xml:space="preserve">强</w:t>
            </w:r>
            <w:r>
              <w:rPr>
                <w:rFonts w:hint="eastAsia" w:ascii="宋体" w:hAnsi="宋体" w:eastAsia="宋体"/>
                <w:color w:val="auto"/>
                <w:sz w:val="21"/>
                <w:szCs w:val="21"/>
                <w:highlight w:val="none"/>
              </w:rPr>
              <w:t xml:space="preserve">的得</w:t>
            </w:r>
            <w:r>
              <w:rPr>
                <w:rFonts w:hint="eastAsia" w:ascii="宋体" w:hAnsi="宋体" w:eastAsia="宋体"/>
                <w:color w:val="auto"/>
                <w:sz w:val="21"/>
                <w:szCs w:val="21"/>
                <w:highlight w:val="none"/>
                <w:lang w:val="en-US" w:eastAsia="zh-CN"/>
              </w:rPr>
              <w:t xml:space="preserve">10</w:t>
            </w:r>
            <w:r>
              <w:rPr>
                <w:rFonts w:hint="eastAsia" w:ascii="宋体" w:hAnsi="宋体" w:eastAsia="宋体"/>
                <w:color w:val="auto"/>
                <w:sz w:val="21"/>
                <w:szCs w:val="21"/>
                <w:highlight w:val="none"/>
                <w:lang w:val="en-US"/>
              </w:rPr>
              <w:t xml:space="preserve">分；</w:t>
            </w:r>
            <w:r>
              <w:rPr>
                <w:rFonts w:hint="eastAsia" w:ascii="宋体" w:hAnsi="宋体" w:eastAsia="宋体" w:cs="宋体"/>
                <w:color w:val="auto"/>
                <w:sz w:val="21"/>
                <w:szCs w:val="21"/>
                <w:highlight w:val="none"/>
              </w:rPr>
              <w:t xml:space="preserve">整体安排</w:t>
            </w:r>
            <w:r>
              <w:rPr>
                <w:rFonts w:hint="eastAsia" w:ascii="宋体" w:hAnsi="宋体" w:eastAsia="宋体" w:cs="宋体"/>
                <w:color w:val="auto"/>
                <w:sz w:val="21"/>
                <w:szCs w:val="21"/>
                <w:highlight w:val="none"/>
                <w:lang w:eastAsia="zh-CN"/>
              </w:rPr>
              <w:t xml:space="preserve">较为</w:t>
            </w:r>
            <w:r>
              <w:rPr>
                <w:rFonts w:hint="eastAsia" w:ascii="宋体" w:hAnsi="宋体" w:eastAsia="宋体" w:cs="宋体"/>
                <w:color w:val="auto"/>
                <w:sz w:val="21"/>
                <w:szCs w:val="21"/>
                <w:highlight w:val="none"/>
              </w:rPr>
              <w:t xml:space="preserve">合理</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方案</w:t>
            </w:r>
            <w:r>
              <w:rPr>
                <w:rFonts w:hint="eastAsia" w:ascii="宋体" w:hAnsi="宋体" w:eastAsia="宋体"/>
                <w:color w:val="auto"/>
                <w:sz w:val="21"/>
                <w:szCs w:val="21"/>
                <w:highlight w:val="none"/>
                <w:lang w:val="en-US"/>
              </w:rPr>
              <w:t xml:space="preserve">较</w:t>
            </w:r>
            <w:r>
              <w:rPr>
                <w:rFonts w:hint="eastAsia" w:ascii="宋体" w:hAnsi="宋体" w:eastAsia="宋体"/>
                <w:color w:val="auto"/>
                <w:sz w:val="21"/>
                <w:szCs w:val="21"/>
                <w:highlight w:val="none"/>
              </w:rPr>
              <w:t xml:space="preserve">全面、科学合理，</w:t>
            </w:r>
            <w:r>
              <w:rPr>
                <w:rFonts w:hint="eastAsia" w:ascii="宋体" w:hAnsi="宋体" w:eastAsia="宋体"/>
                <w:color w:val="auto"/>
                <w:sz w:val="21"/>
                <w:szCs w:val="21"/>
                <w:highlight w:val="none"/>
                <w:lang w:val="en-US"/>
              </w:rPr>
              <w:t xml:space="preserve">可行性较强</w:t>
            </w:r>
            <w:r>
              <w:rPr>
                <w:rFonts w:hint="eastAsia" w:ascii="宋体" w:hAnsi="宋体" w:eastAsia="宋体"/>
                <w:color w:val="auto"/>
                <w:sz w:val="21"/>
                <w:szCs w:val="21"/>
                <w:highlight w:val="none"/>
              </w:rPr>
              <w:t xml:space="preserve">的得</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lang w:val="en-US"/>
              </w:rPr>
              <w:t xml:space="preserve">分；</w:t>
            </w:r>
            <w:r>
              <w:rPr>
                <w:rFonts w:hint="eastAsia" w:ascii="宋体" w:hAnsi="宋体" w:eastAsia="宋体" w:cs="宋体"/>
                <w:color w:val="auto"/>
                <w:sz w:val="21"/>
                <w:szCs w:val="21"/>
                <w:highlight w:val="none"/>
              </w:rPr>
              <w:t xml:space="preserve">整体安排</w:t>
            </w:r>
            <w:r>
              <w:rPr>
                <w:rFonts w:hint="eastAsia" w:ascii="宋体" w:hAnsi="宋体" w:eastAsia="宋体" w:cs="宋体"/>
                <w:color w:val="auto"/>
                <w:sz w:val="21"/>
                <w:szCs w:val="21"/>
                <w:highlight w:val="none"/>
                <w:lang w:val="en-US" w:eastAsia="zh-CN"/>
              </w:rPr>
              <w:t xml:space="preserve">具一定合理性</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方案和</w:t>
            </w:r>
            <w:r>
              <w:rPr>
                <w:rFonts w:hint="eastAsia" w:ascii="宋体" w:hAnsi="宋体" w:eastAsia="宋体"/>
                <w:color w:val="auto"/>
                <w:sz w:val="21"/>
                <w:szCs w:val="21"/>
                <w:highlight w:val="none"/>
                <w:lang w:val="en-US"/>
              </w:rPr>
              <w:t xml:space="preserve">可行性一般</w:t>
            </w:r>
            <w:r>
              <w:rPr>
                <w:rFonts w:hint="eastAsia" w:ascii="宋体" w:hAnsi="宋体" w:eastAsia="宋体"/>
                <w:color w:val="auto"/>
                <w:sz w:val="21"/>
                <w:szCs w:val="21"/>
                <w:highlight w:val="none"/>
              </w:rPr>
              <w:t xml:space="preserve">的得</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lang w:val="en-US"/>
              </w:rPr>
              <w:t xml:space="preserve">分；</w:t>
            </w:r>
            <w:r>
              <w:rPr>
                <w:rFonts w:hint="eastAsia" w:ascii="宋体" w:hAnsi="宋体" w:eastAsia="宋体"/>
                <w:color w:val="auto"/>
                <w:sz w:val="21"/>
                <w:szCs w:val="21"/>
                <w:highlight w:val="none"/>
              </w:rPr>
              <w:t xml:space="preserve">方案</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内容基本满足需求</w:t>
            </w:r>
            <w:r>
              <w:rPr>
                <w:rFonts w:hint="eastAsia" w:ascii="宋体" w:hAnsi="宋体" w:eastAsia="宋体"/>
                <w:color w:val="auto"/>
                <w:sz w:val="21"/>
                <w:szCs w:val="21"/>
                <w:highlight w:val="none"/>
              </w:rPr>
              <w:t xml:space="preserve">的得</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lang w:val="en-US"/>
              </w:rPr>
              <w:t xml:space="preserve">分；</w:t>
            </w:r>
            <w:r>
              <w:rPr>
                <w:rFonts w:hint="eastAsia" w:ascii="宋体" w:hAnsi="宋体" w:eastAsia="宋体" w:cs="宋体"/>
                <w:color w:val="auto"/>
                <w:sz w:val="21"/>
                <w:szCs w:val="21"/>
                <w:highlight w:val="none"/>
              </w:rPr>
              <w:t xml:space="preserve">不</w:t>
            </w:r>
            <w:r>
              <w:rPr>
                <w:rFonts w:hint="eastAsia" w:ascii="宋体" w:hAnsi="宋体" w:eastAsia="宋体"/>
                <w:color w:val="auto"/>
                <w:sz w:val="21"/>
                <w:szCs w:val="21"/>
                <w:highlight w:val="none"/>
                <w:lang w:val="en-US"/>
              </w:rPr>
              <w:t xml:space="preserve">提供</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lang w:val="en-US"/>
              </w:rPr>
              <w:t xml:space="preserve">不得分</w:t>
            </w:r>
            <w:r>
              <w:rPr>
                <w:rFonts w:hint="eastAsia" w:ascii="宋体" w:hAnsi="宋体" w:eastAsia="宋体"/>
                <w:color w:val="auto"/>
                <w:sz w:val="21"/>
                <w:szCs w:val="21"/>
                <w:highlight w:val="none"/>
                <w:lang w:val="en-US" w:eastAsia="zh-CN"/>
              </w:rPr>
              <w:t xml:space="preserve">。</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10</w:t>
            </w:r>
            <w:r/>
          </w:p>
        </w:tc>
      </w:tr>
      <w:tr>
        <w:trPr>
          <w:jc w:val="center"/>
          <w:trHeight w:val="0"/>
        </w:trPr>
        <w:tc>
          <w:tcPr>
            <w:tcW w:w="705" w:type="dxa"/>
            <w:vAlign w:val="center"/>
            <w:textDirection w:val="lrTb"/>
            <w:noWrap w:val="false"/>
          </w:tcPr>
          <w:p>
            <w:pPr>
              <w:ind w:right="-24"/>
              <w:jc w:val="center"/>
              <w:spacing w:line="360" w:lineRule="auto"/>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val="en-US"/>
              </w:rPr>
              <w:t xml:space="preserve">.3</w:t>
            </w:r>
            <w:r/>
          </w:p>
        </w:tc>
        <w:tc>
          <w:tcPr>
            <w:tcW w:w="1090" w:type="dxa"/>
            <w:vAlign w:val="center"/>
            <w:vMerge w:val="continue"/>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7333" w:type="dxa"/>
            <w:vAlign w:val="center"/>
            <w:textDirection w:val="lrTb"/>
            <w:noWrap w:val="false"/>
          </w:tcPr>
          <w:p>
            <w:pPr>
              <w:numPr>
                <w:ilvl w:val="0"/>
                <w:numId w:val="0"/>
              </w:num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评委</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提供的质量控制方案及安全保证措施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应包括质量</w:t>
            </w:r>
            <w:r>
              <w:rPr>
                <w:rFonts w:hint="eastAsia" w:ascii="宋体" w:hAnsi="宋体" w:eastAsia="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rPr>
              <w:t xml:space="preserve">、安全性</w:t>
            </w:r>
            <w:r>
              <w:rPr>
                <w:rFonts w:hint="eastAsia" w:ascii="宋体" w:hAnsi="宋体" w:eastAsia="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仓储能力、运输资质及</w:t>
            </w:r>
            <w:r>
              <w:rPr>
                <w:rFonts w:hint="eastAsia" w:ascii="宋体" w:hAnsi="宋体" w:eastAsia="宋体" w:cs="宋体"/>
                <w:color w:val="auto"/>
                <w:sz w:val="21"/>
                <w:szCs w:val="21"/>
                <w:highlight w:val="none"/>
              </w:rPr>
              <w:t xml:space="preserve">因质量问题造成事故的责任承担方案等内容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进行评审：  </w:t>
            </w:r>
            <w:r/>
          </w:p>
          <w:p>
            <w:pPr>
              <w:numPr>
                <w:ilvl w:val="0"/>
                <w:numId w:val="0"/>
              </w:numPr>
              <w:ind w:left="0"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具有完整详细的产品质量控制方案及安全保证措施，措施具体可行，能保障</w:t>
            </w:r>
            <w:r>
              <w:rPr>
                <w:rFonts w:hint="eastAsia" w:ascii="宋体" w:hAnsi="宋体" w:eastAsia="宋体" w:cs="宋体"/>
                <w:color w:val="auto"/>
                <w:sz w:val="21"/>
                <w:szCs w:val="21"/>
                <w:highlight w:val="none"/>
                <w:lang w:val="en-US" w:eastAsia="zh-CN"/>
              </w:rPr>
              <w:t xml:space="preserve">供应配送</w:t>
            </w:r>
            <w:r>
              <w:rPr>
                <w:rFonts w:hint="eastAsia" w:ascii="宋体" w:hAnsi="宋体" w:eastAsia="宋体" w:cs="宋体"/>
                <w:color w:val="auto"/>
                <w:sz w:val="21"/>
                <w:szCs w:val="21"/>
                <w:highlight w:val="none"/>
              </w:rPr>
              <w:t xml:space="preserve">的产品同一批次、不同批次质量均稳定得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分；具有</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完整详细的产品质量控制方案及安全保证措施，措施</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可行，能保障</w:t>
            </w:r>
            <w:r>
              <w:rPr>
                <w:rFonts w:hint="eastAsia" w:ascii="宋体" w:hAnsi="宋体" w:eastAsia="宋体" w:cs="宋体"/>
                <w:color w:val="auto"/>
                <w:sz w:val="21"/>
                <w:szCs w:val="21"/>
                <w:highlight w:val="none"/>
                <w:lang w:val="en-US" w:eastAsia="zh-CN"/>
              </w:rPr>
              <w:t xml:space="preserve">供应配送</w:t>
            </w:r>
            <w:r>
              <w:rPr>
                <w:rFonts w:hint="eastAsia" w:ascii="宋体" w:hAnsi="宋体" w:eastAsia="宋体" w:cs="宋体"/>
                <w:color w:val="auto"/>
                <w:sz w:val="21"/>
                <w:szCs w:val="21"/>
                <w:highlight w:val="none"/>
              </w:rPr>
              <w:t xml:space="preserve">的产品质量基本稳定得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详细的产品质量控制方案及安全保证措施，措施</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val="en-US" w:eastAsia="zh-CN"/>
              </w:rPr>
              <w:t xml:space="preserve">满足项目</w:t>
            </w:r>
            <w:r>
              <w:rPr>
                <w:rFonts w:hint="eastAsia" w:ascii="宋体" w:hAnsi="宋体" w:eastAsia="宋体" w:cs="宋体"/>
                <w:color w:val="auto"/>
                <w:sz w:val="21"/>
                <w:szCs w:val="21"/>
                <w:highlight w:val="none"/>
              </w:rPr>
              <w:t xml:space="preserve">基本</w:t>
            </w:r>
            <w:r>
              <w:rPr>
                <w:rFonts w:hint="eastAsia" w:ascii="宋体" w:hAnsi="宋体" w:eastAsia="宋体" w:cs="宋体"/>
                <w:color w:val="auto"/>
                <w:sz w:val="21"/>
                <w:szCs w:val="21"/>
                <w:highlight w:val="none"/>
                <w:lang w:val="en-US" w:eastAsia="zh-CN"/>
              </w:rPr>
              <w:t xml:space="preserve">需求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产品质量控制方案及安全保证措施不完整，措施可行性差，产品质量稳定性差得1分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不提供</w:t>
            </w:r>
            <w:r>
              <w:rPr>
                <w:rFonts w:hint="eastAsia" w:ascii="宋体" w:hAnsi="宋体" w:eastAsia="宋体" w:cs="宋体"/>
                <w:color w:val="auto"/>
                <w:sz w:val="21"/>
                <w:szCs w:val="21"/>
                <w:highlight w:val="none"/>
                <w:lang w:eastAsia="zh-CN"/>
              </w:rPr>
              <w:t xml:space="preserve">的不得分</w:t>
            </w:r>
            <w:r>
              <w:rPr>
                <w:rFonts w:hint="eastAsia" w:ascii="宋体" w:hAnsi="宋体" w:eastAsia="宋体" w:cs="宋体"/>
                <w:color w:val="auto"/>
                <w:sz w:val="21"/>
                <w:szCs w:val="21"/>
                <w:highlight w:val="none"/>
              </w:rPr>
              <w:t xml:space="preserve">。</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r>
      <w:tr>
        <w:trPr>
          <w:jc w:val="center"/>
          <w:trHeight w:val="0"/>
        </w:trPr>
        <w:tc>
          <w:tcPr>
            <w:tcW w:w="705" w:type="dxa"/>
            <w:vAlign w:val="center"/>
            <w:textDirection w:val="lrTb"/>
            <w:noWrap w:val="false"/>
          </w:tcPr>
          <w:p>
            <w:pPr>
              <w:ind w:right="-24"/>
              <w:jc w:val="center"/>
              <w:spacing w:line="360" w:lineRule="auto"/>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3.4</w:t>
            </w:r>
            <w:r/>
          </w:p>
        </w:tc>
        <w:tc>
          <w:tcPr>
            <w:tcW w:w="1090" w:type="dxa"/>
            <w:vAlign w:val="center"/>
            <w:vMerge w:val="continue"/>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7333" w:type="dxa"/>
            <w:vAlign w:val="center"/>
            <w:textDirection w:val="lrTb"/>
            <w:noWrap w:val="false"/>
          </w:tcPr>
          <w:p>
            <w:pPr>
              <w:ind w:firstLine="21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评委根据供应商提供的突发性</w:t>
            </w:r>
            <w:r>
              <w:rPr>
                <w:rFonts w:hint="eastAsia" w:ascii="宋体" w:hAnsi="宋体" w:eastAsia="宋体" w:cs="宋体"/>
                <w:color w:val="auto"/>
                <w:sz w:val="21"/>
                <w:szCs w:val="21"/>
                <w:highlight w:val="none"/>
                <w:lang w:eastAsia="zh-CN"/>
              </w:rPr>
              <w:t xml:space="preserve">采购的应急响应、应急处置、能力保障及服务承诺进行评审：</w:t>
            </w:r>
            <w:r/>
          </w:p>
          <w:p>
            <w:pPr>
              <w:ind w:firstLine="21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rPr>
              <w:t xml:space="preserve"> 方案详细、全面，针对性、可行性</w:t>
            </w:r>
            <w:r>
              <w:rPr>
                <w:rFonts w:hint="eastAsia" w:ascii="宋体" w:hAnsi="宋体" w:eastAsia="宋体" w:cs="宋体"/>
                <w:color w:val="auto"/>
                <w:sz w:val="21"/>
                <w:szCs w:val="21"/>
                <w:highlight w:val="none"/>
                <w:lang w:val="en-US" w:eastAsia="zh-CN"/>
              </w:rPr>
              <w:t xml:space="preserve">强</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详细、全面，针对性、可行性</w:t>
            </w:r>
            <w:r>
              <w:rPr>
                <w:rFonts w:hint="eastAsia" w:ascii="宋体" w:hAnsi="宋体" w:eastAsia="宋体" w:cs="宋体"/>
                <w:color w:val="auto"/>
                <w:sz w:val="21"/>
                <w:szCs w:val="21"/>
                <w:highlight w:val="none"/>
                <w:lang w:val="en-US" w:eastAsia="zh-CN"/>
              </w:rPr>
              <w:t xml:space="preserve">较强</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基本满足需求得</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不提供</w:t>
            </w:r>
            <w:r>
              <w:rPr>
                <w:rFonts w:hint="eastAsia" w:ascii="宋体" w:hAnsi="宋体" w:eastAsia="宋体" w:cs="宋体"/>
                <w:color w:val="auto"/>
                <w:sz w:val="21"/>
                <w:szCs w:val="21"/>
                <w:highlight w:val="none"/>
                <w:lang w:eastAsia="zh-CN"/>
              </w:rPr>
              <w:t xml:space="preserve">的不得分</w:t>
            </w:r>
            <w:r>
              <w:rPr>
                <w:rFonts w:hint="eastAsia" w:ascii="宋体" w:hAnsi="宋体" w:eastAsia="宋体" w:cs="宋体"/>
                <w:color w:val="auto"/>
                <w:sz w:val="21"/>
                <w:szCs w:val="21"/>
                <w:highlight w:val="none"/>
              </w:rPr>
              <w:t xml:space="preserve">。</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8</w:t>
            </w:r>
            <w:r/>
          </w:p>
        </w:tc>
      </w:tr>
      <w:tr>
        <w:trPr>
          <w:jc w:val="center"/>
          <w:trHeight w:val="0"/>
        </w:trPr>
        <w:tc>
          <w:tcPr>
            <w:tcW w:w="705" w:type="dxa"/>
            <w:vAlign w:val="center"/>
            <w:textDirection w:val="lrTb"/>
            <w:noWrap w:val="false"/>
          </w:tcPr>
          <w:p>
            <w:pPr>
              <w:ind w:right="-24"/>
              <w:jc w:val="center"/>
              <w:spacing w:line="360" w:lineRule="auto"/>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3.5</w:t>
            </w:r>
            <w:r/>
          </w:p>
        </w:tc>
        <w:tc>
          <w:tcPr>
            <w:tcW w:w="1090" w:type="dxa"/>
            <w:vAlign w:val="center"/>
            <w:vMerge w:val="continue"/>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7333" w:type="dxa"/>
            <w:vAlign w:val="center"/>
            <w:textDirection w:val="lrTb"/>
            <w:noWrap w:val="false"/>
          </w:tcPr>
          <w:p>
            <w:pPr>
              <w:numPr>
                <w:ilvl w:val="0"/>
                <w:numId w:val="0"/>
              </w:num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评委</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针对本项目提供的</w:t>
            </w:r>
            <w:r>
              <w:rPr>
                <w:rFonts w:hint="eastAsia" w:ascii="宋体" w:hAnsi="宋体" w:eastAsia="宋体" w:cs="宋体"/>
                <w:color w:val="auto"/>
                <w:sz w:val="21"/>
                <w:szCs w:val="21"/>
                <w:highlight w:val="none"/>
                <w:lang w:val="en-US" w:eastAsia="zh-CN"/>
              </w:rPr>
              <w:t xml:space="preserve">售后</w:t>
            </w:r>
            <w:r>
              <w:rPr>
                <w:rFonts w:hint="eastAsia" w:ascii="宋体" w:hAnsi="宋体" w:eastAsia="宋体" w:cs="宋体"/>
                <w:color w:val="auto"/>
                <w:sz w:val="21"/>
                <w:szCs w:val="21"/>
                <w:highlight w:val="none"/>
              </w:rPr>
              <w:t xml:space="preserve">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w:t>
            </w:r>
            <w:r>
              <w:rPr>
                <w:rFonts w:hint="eastAsia" w:ascii="宋体" w:hAnsi="宋体" w:eastAsia="宋体" w:cs="宋体"/>
                <w:color w:val="auto"/>
                <w:sz w:val="21"/>
                <w:szCs w:val="21"/>
                <w:highlight w:val="none"/>
              </w:rPr>
              <w:t xml:space="preserve">服务管理体系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技术保障</w:t>
            </w:r>
            <w:r>
              <w:rPr>
                <w:rFonts w:hint="eastAsia" w:ascii="宋体" w:hAnsi="宋体" w:eastAsia="宋体" w:cs="宋体"/>
                <w:color w:val="auto"/>
                <w:sz w:val="21"/>
                <w:szCs w:val="21"/>
                <w:highlight w:val="none"/>
                <w:lang w:val="en-US"/>
              </w:rPr>
              <w:t xml:space="preserve">及服务承诺</w:t>
            </w:r>
            <w:r>
              <w:rPr>
                <w:rFonts w:hint="eastAsia" w:ascii="宋体" w:hAnsi="宋体" w:eastAsia="宋体" w:cs="宋体"/>
                <w:color w:val="auto"/>
                <w:sz w:val="21"/>
                <w:szCs w:val="21"/>
                <w:highlight w:val="none"/>
                <w:lang w:val="en-US" w:eastAsia="zh-CN"/>
              </w:rPr>
              <w:t xml:space="preserve">、售后响应时间等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进行评审：  </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方案详细、全面，针对性、可行性</w:t>
            </w:r>
            <w:r>
              <w:rPr>
                <w:rFonts w:hint="eastAsia" w:ascii="宋体" w:hAnsi="宋体" w:eastAsia="宋体" w:cs="宋体"/>
                <w:color w:val="auto"/>
                <w:sz w:val="21"/>
                <w:szCs w:val="21"/>
                <w:highlight w:val="none"/>
                <w:lang w:val="en-US" w:eastAsia="zh-CN"/>
              </w:rPr>
              <w:t xml:space="preserve">强，售后响应时间横向比较最短</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详细、全面，针对性、可行性</w:t>
            </w:r>
            <w:r>
              <w:rPr>
                <w:rFonts w:hint="eastAsia" w:ascii="宋体" w:hAnsi="宋体" w:eastAsia="宋体" w:cs="宋体"/>
                <w:color w:val="auto"/>
                <w:sz w:val="21"/>
                <w:szCs w:val="21"/>
                <w:highlight w:val="none"/>
                <w:lang w:val="en-US" w:eastAsia="zh-CN"/>
              </w:rPr>
              <w:t xml:space="preserve">较强，售后响应时间横向比较次短</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售后响应时间基本满足需求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不提供</w:t>
            </w:r>
            <w:r>
              <w:rPr>
                <w:rFonts w:hint="eastAsia" w:ascii="宋体" w:hAnsi="宋体" w:eastAsia="宋体" w:cs="宋体"/>
                <w:color w:val="auto"/>
                <w:sz w:val="21"/>
                <w:szCs w:val="21"/>
                <w:highlight w:val="none"/>
                <w:lang w:eastAsia="zh-CN"/>
              </w:rPr>
              <w:t xml:space="preserve">的不得分</w:t>
            </w:r>
            <w:r>
              <w:rPr>
                <w:rFonts w:hint="eastAsia" w:ascii="宋体" w:hAnsi="宋体" w:eastAsia="宋体" w:cs="宋体"/>
                <w:color w:val="auto"/>
                <w:sz w:val="21"/>
                <w:szCs w:val="21"/>
                <w:highlight w:val="none"/>
              </w:rPr>
              <w:t xml:space="preserve">。</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w:t>
            </w:r>
            <w:r/>
          </w:p>
        </w:tc>
      </w:tr>
      <w:tr>
        <w:trPr>
          <w:jc w:val="center"/>
          <w:trHeight w:val="0"/>
        </w:trPr>
        <w:tc>
          <w:tcPr>
            <w:tcW w:w="705" w:type="dxa"/>
            <w:vAlign w:val="center"/>
            <w:textDirection w:val="lrTb"/>
            <w:noWrap w:val="false"/>
          </w:tcPr>
          <w:p>
            <w:pPr>
              <w:ind w:right="-24"/>
              <w:jc w:val="center"/>
              <w:spacing w:line="360" w:lineRule="auto"/>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4</w:t>
            </w:r>
            <w:r/>
          </w:p>
        </w:tc>
        <w:tc>
          <w:tcPr>
            <w:tcW w:w="1090" w:type="dxa"/>
            <w:vAlign w:val="center"/>
            <w:textDirection w:val="lrTb"/>
            <w:noWrap w:val="false"/>
          </w:tcPr>
          <w:p>
            <w:pPr>
              <w:jc w:val="cente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业绩</w:t>
            </w:r>
            <w:r/>
          </w:p>
        </w:tc>
        <w:tc>
          <w:tcPr>
            <w:tcW w:w="7333" w:type="dxa"/>
            <w:vAlign w:val="center"/>
            <w:textDirection w:val="lrTb"/>
            <w:noWrap w:val="false"/>
          </w:tcPr>
          <w:p>
            <w:pPr>
              <w:ind w:firstLine="21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供应商提供</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年1月1日至今（</w:t>
            </w:r>
            <w:r>
              <w:rPr>
                <w:rFonts w:hint="eastAsia" w:ascii="宋体" w:hAnsi="宋体" w:eastAsia="宋体" w:cs="宋体"/>
                <w:color w:val="auto"/>
                <w:sz w:val="21"/>
                <w:szCs w:val="21"/>
                <w:highlight w:val="none"/>
                <w:lang w:val="en-US" w:eastAsia="zh-CN"/>
              </w:rPr>
              <w:t xml:space="preserve">含，以</w:t>
            </w:r>
            <w:r>
              <w:rPr>
                <w:rFonts w:hint="eastAsia" w:ascii="宋体" w:hAnsi="宋体" w:eastAsia="宋体" w:cs="宋体"/>
                <w:color w:val="auto"/>
                <w:sz w:val="21"/>
                <w:szCs w:val="21"/>
                <w:highlight w:val="none"/>
              </w:rPr>
              <w:t xml:space="preserve">合同签订日期为准）</w:t>
            </w: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提供一份得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分（提供合同复印件</w:t>
            </w:r>
            <w:r>
              <w:rPr>
                <w:rFonts w:hint="eastAsia" w:ascii="宋体" w:hAnsi="宋体" w:eastAsia="宋体" w:cs="宋体"/>
                <w:color w:val="auto"/>
                <w:sz w:val="21"/>
                <w:szCs w:val="21"/>
                <w:highlight w:val="none"/>
                <w:lang w:val="en-US" w:eastAsia="zh-CN"/>
              </w:rPr>
              <w:t xml:space="preserve">等相关证明材料。其中供应商所提供的业绩中相同年度同一单位有多份合同的，按一份合同计算。合同应能反映相关信息，</w:t>
            </w:r>
            <w:r>
              <w:rPr>
                <w:rFonts w:hint="eastAsia" w:ascii="宋体" w:hAnsi="宋体" w:eastAsia="宋体" w:cs="宋体"/>
                <w:color w:val="auto"/>
                <w:sz w:val="21"/>
                <w:szCs w:val="21"/>
                <w:highlight w:val="none"/>
              </w:rPr>
              <w:t xml:space="preserve">不提供</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tc>
        <w:tc>
          <w:tcPr>
            <w:tcW w:w="690" w:type="dxa"/>
            <w:vAlign w:val="center"/>
            <w:textDirection w:val="lrTb"/>
            <w:noWrap w:val="false"/>
          </w:tcPr>
          <w:p>
            <w:pPr>
              <w:jc w:val="center"/>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9</w:t>
            </w:r>
            <w:r/>
          </w:p>
        </w:tc>
      </w:tr>
      <w:tr>
        <w:trPr>
          <w:jc w:val="center"/>
          <w:trHeight w:val="0"/>
        </w:trPr>
        <w:tc>
          <w:tcPr>
            <w:gridSpan w:val="3"/>
            <w:tcW w:w="91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合计分值</w:t>
            </w:r>
            <w:r/>
          </w:p>
        </w:tc>
        <w:tc>
          <w:tcPr>
            <w:tcW w:w="690"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100</w:t>
            </w:r>
            <w:r/>
          </w:p>
        </w:tc>
      </w:tr>
    </w:tbl>
    <w:p>
      <w:pPr>
        <w:ind w:firstLine="422"/>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val="en-US"/>
        </w:rPr>
        <w:t xml:space="preserve">三、评标</w:t>
      </w:r>
      <w:r>
        <w:rPr>
          <w:rFonts w:hint="eastAsia" w:ascii="宋体" w:hAnsi="宋体" w:eastAsia="宋体"/>
          <w:b/>
          <w:color w:val="000000"/>
          <w:sz w:val="21"/>
          <w:szCs w:val="21"/>
          <w:highlight w:val="none"/>
        </w:rPr>
        <w:t xml:space="preserve">说明：</w:t>
      </w:r>
      <w:r/>
    </w:p>
    <w:p>
      <w:pPr>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1、小微企业的价格扣除</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（1）对于非专门面向中小企业的采购项目，给予小微企业报价10%的价格扣除，用扣除后的价格参与评审。</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（2）对于非专门面向中小企业的</w:t>
      </w:r>
      <w:r>
        <w:rPr>
          <w:rFonts w:hint="eastAsia" w:ascii="宋体" w:hAnsi="宋体" w:eastAsia="宋体"/>
          <w:bCs/>
          <w:color w:val="000000"/>
          <w:sz w:val="21"/>
          <w:szCs w:val="21"/>
          <w:highlight w:val="none"/>
          <w:lang w:val="en-US"/>
        </w:rPr>
        <w:t xml:space="preserve">货物</w:t>
      </w:r>
      <w:r>
        <w:rPr>
          <w:rFonts w:hint="eastAsia" w:ascii="宋体" w:hAnsi="宋体" w:eastAsia="宋体"/>
          <w:color w:val="000000"/>
          <w:sz w:val="21"/>
          <w:szCs w:val="21"/>
          <w:highlight w:val="none"/>
          <w:lang w:val="en-US"/>
        </w:rPr>
        <w:t xml:space="preserve">采购项目</w:t>
      </w:r>
      <w:r>
        <w:rPr>
          <w:rFonts w:hint="eastAsia" w:ascii="宋体" w:hAnsi="宋体" w:eastAsia="宋体"/>
          <w:bCs/>
          <w:color w:val="000000"/>
          <w:sz w:val="21"/>
          <w:szCs w:val="21"/>
          <w:highlight w:val="none"/>
          <w:lang w:val="en-US"/>
        </w:rPr>
        <w:t xml:space="preserve">，供应商（无论为大型企业、中型企业或小微企业）提供的货物均为小微企业制造的货物，即可享受上述价格评审优惠政策，除此之外的情形，不享受小微企业价格评审优惠政策。</w:t>
      </w:r>
      <w:r/>
    </w:p>
    <w:p>
      <w:pPr>
        <w:ind w:firstLine="421"/>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2、监狱和戒毒企业的价格扣除</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）本项目对监狱和戒毒企业（简称监狱企业），给予报价</w:t>
      </w: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rPr>
        <w:t xml:space="preserve">%的价格扣除，用扣除后的价格参与评审。</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）监狱企业需提供由省级以上监狱管理局、戒毒管理局（含新疆生产建设兵团）出具的属于监狱企业的证明文件。</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）监狱企业标准请参照《关于政府采购支持监狱企业发展有关问题的通知》（财库〔2014〕68号）。</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3、</w:t>
      </w:r>
      <w:r>
        <w:rPr>
          <w:rFonts w:hint="eastAsia" w:ascii="宋体" w:hAnsi="宋体" w:eastAsia="宋体"/>
          <w:b/>
          <w:bCs/>
          <w:color w:val="000000"/>
          <w:sz w:val="21"/>
          <w:szCs w:val="21"/>
          <w:highlight w:val="none"/>
        </w:rPr>
        <w:t xml:space="preserve">残疾人福利性单位的价格扣除</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）本项目对残疾人福利性单位，给予报价</w:t>
      </w: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rPr>
        <w:t xml:space="preserve">%的价格扣除，用扣除后的价格参与评审。</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）残疾人福利单位需按照招标文件的要求提供《残疾人福利性单位声明函》。</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）残疾人福利单位标准请参照《关于促进残疾人就业政府采购政策的通知》（财库〔2017〕141号）。</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4、</w:t>
      </w:r>
      <w:r>
        <w:rPr>
          <w:rFonts w:hint="eastAsia" w:ascii="宋体" w:hAnsi="宋体" w:eastAsia="宋体"/>
          <w:b/>
          <w:bCs/>
          <w:color w:val="000000"/>
          <w:sz w:val="21"/>
          <w:szCs w:val="21"/>
          <w:highlight w:val="none"/>
        </w:rPr>
        <w:t xml:space="preserve">监狱企业、残疾人福利性单位属于小微企业的，不重复享受政策。</w:t>
      </w:r>
      <w:r/>
    </w:p>
    <w:p>
      <w:pP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    5、节能产品、环境标志产品优先采购政策</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w:t>
      </w:r>
      <w:r>
        <w:rPr>
          <w:rFonts w:hint="eastAsia" w:ascii="宋体" w:hAnsi="宋体" w:eastAsia="宋体"/>
          <w:bCs/>
          <w:color w:val="000000"/>
          <w:sz w:val="21"/>
          <w:szCs w:val="21"/>
          <w:highlight w:val="none"/>
        </w:rPr>
        <w:t xml:space="preserve">在性能、技术、服务等指标同等条件下</w:t>
      </w:r>
      <w:r>
        <w:rPr>
          <w:rFonts w:hint="eastAsia" w:ascii="宋体" w:hAnsi="宋体" w:eastAsia="宋体"/>
          <w:color w:val="000000"/>
          <w:sz w:val="21"/>
          <w:szCs w:val="21"/>
          <w:highlight w:val="none"/>
        </w:rPr>
        <w:t xml:space="preserve">，对属于国家认定的节能产品（</w:t>
      </w:r>
      <w:r>
        <w:rPr>
          <w:rFonts w:hint="eastAsia" w:ascii="宋体" w:hAnsi="宋体" w:eastAsia="宋体"/>
          <w:bCs/>
          <w:color w:val="000000"/>
          <w:sz w:val="21"/>
          <w:szCs w:val="21"/>
          <w:highlight w:val="none"/>
        </w:rPr>
        <w:t xml:space="preserve">列入《节能产品政府采购品目清单》中的非政府强制采购产品</w:t>
      </w:r>
      <w:r>
        <w:rPr>
          <w:rFonts w:hint="eastAsia" w:ascii="宋体" w:hAnsi="宋体" w:eastAsia="宋体"/>
          <w:color w:val="000000"/>
          <w:sz w:val="21"/>
          <w:szCs w:val="21"/>
          <w:highlight w:val="none"/>
        </w:rPr>
        <w:t xml:space="preserve">）和</w:t>
      </w:r>
      <w:r>
        <w:rPr>
          <w:rFonts w:hint="eastAsia" w:ascii="宋体" w:hAnsi="宋体" w:eastAsia="宋体"/>
          <w:bCs/>
          <w:color w:val="000000"/>
          <w:sz w:val="21"/>
          <w:szCs w:val="21"/>
          <w:highlight w:val="none"/>
        </w:rPr>
        <w:t xml:space="preserve">环境标志产品（列入《环境标志产品政府采购品目清单》中的所有产品）实行优先采购，即</w:t>
      </w:r>
      <w:r>
        <w:rPr>
          <w:rFonts w:hint="eastAsia" w:ascii="宋体" w:hAnsi="宋体" w:eastAsia="宋体"/>
          <w:color w:val="000000"/>
          <w:sz w:val="21"/>
          <w:szCs w:val="21"/>
          <w:highlight w:val="none"/>
        </w:rPr>
        <w:t xml:space="preserve">在评审时分别给予其对应的投标产品报价5%的价格扣除，</w:t>
      </w:r>
      <w:r>
        <w:rPr>
          <w:rFonts w:hint="eastAsia" w:ascii="宋体" w:hAnsi="宋体" w:eastAsia="宋体"/>
          <w:bCs/>
          <w:color w:val="000000"/>
          <w:sz w:val="21"/>
          <w:szCs w:val="21"/>
          <w:highlight w:val="none"/>
          <w:lang w:val="en-US"/>
        </w:rPr>
        <w:t xml:space="preserve">用扣除后的价格参与评审。</w:t>
      </w:r>
      <w:r/>
    </w:p>
    <w:p>
      <w:pPr>
        <w:ind w:firstLine="420"/>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）节能产品、环境标志产品必须纳入“中国政府采购网”（www.ccgp.gov.cn）的“节能产品查询系统”、“</w:t>
      </w:r>
      <w:r>
        <w:rPr>
          <w:rFonts w:hint="eastAsia" w:ascii="宋体" w:hAnsi="宋体" w:eastAsia="宋体"/>
          <w:bCs/>
          <w:color w:val="000000"/>
          <w:sz w:val="21"/>
          <w:szCs w:val="21"/>
          <w:highlight w:val="none"/>
        </w:rPr>
        <w:t xml:space="preserve">环境标志产品</w:t>
      </w:r>
      <w:r>
        <w:rPr>
          <w:rFonts w:hint="eastAsia" w:ascii="宋体" w:hAnsi="宋体" w:eastAsia="宋体"/>
          <w:color w:val="000000"/>
          <w:sz w:val="21"/>
          <w:szCs w:val="21"/>
          <w:highlight w:val="none"/>
        </w:rPr>
        <w:t xml:space="preserve">查询系统”，评审时以供应商提供经</w:t>
      </w:r>
      <w:r>
        <w:rPr>
          <w:rFonts w:hint="eastAsia" w:ascii="宋体" w:hAnsi="宋体" w:eastAsia="宋体"/>
          <w:bCs/>
          <w:color w:val="000000"/>
          <w:sz w:val="21"/>
          <w:szCs w:val="21"/>
          <w:highlight w:val="none"/>
        </w:rPr>
        <w:t xml:space="preserve">国家确定的认证机构出具的、处于有效期之内的产品认证证书复印件</w:t>
      </w:r>
      <w:r>
        <w:rPr>
          <w:rFonts w:hint="eastAsia" w:ascii="宋体" w:hAnsi="宋体" w:eastAsia="宋体"/>
          <w:color w:val="000000"/>
          <w:sz w:val="21"/>
          <w:szCs w:val="21"/>
          <w:highlight w:val="none"/>
        </w:rPr>
        <w:t xml:space="preserve">为准，否则不予认可。</w:t>
      </w:r>
      <w:r/>
    </w:p>
    <w:p>
      <w:pPr>
        <w:ind w:firstLine="422"/>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6、除本章另有说明外，所有认证、证明和业绩均以清晰有效的证明文件的复印件为依据。</w:t>
      </w:r>
      <w:r/>
    </w:p>
    <w:p>
      <w:pPr>
        <w:jc w:val="center"/>
        <w:spacing w:line="360" w:lineRule="auto"/>
        <w:shd w:val="clear" w:color="auto" w:fill="auto"/>
        <w:tabs>
          <w:tab w:val="left" w:pos="321" w:leader="none"/>
        </w:tabs>
        <w:rPr>
          <w:rFonts w:hint="eastAsia" w:ascii="黑体" w:hAnsi="黑体" w:eastAsia="黑体" w:cs="黑体"/>
          <w:bCs/>
          <w:color w:val="000000"/>
          <w:sz w:val="32"/>
          <w:szCs w:val="32"/>
          <w:highlight w:val="none"/>
        </w:rPr>
        <w:outlineLvl w:val="0"/>
      </w:pPr>
      <w:r>
        <w:rPr>
          <w:rFonts w:ascii="宋体" w:hAnsi="宋体"/>
          <w:b/>
          <w:color w:val="000000"/>
          <w:szCs w:val="21"/>
          <w:highlight w:val="none"/>
        </w:rPr>
        <w:br w:type="page" w:clear="all"/>
      </w:r>
      <w:r>
        <w:rPr>
          <w:rFonts w:hint="eastAsia" w:ascii="黑体" w:hAnsi="黑体" w:eastAsia="黑体" w:cs="黑体"/>
          <w:bCs/>
          <w:color w:val="000000"/>
          <w:sz w:val="32"/>
          <w:szCs w:val="32"/>
          <w:highlight w:val="none"/>
        </w:rPr>
        <w:t xml:space="preserve">第五章 </w:t>
      </w:r>
      <w:r>
        <w:rPr>
          <w:rFonts w:hint="eastAsia" w:ascii="黑体" w:hAnsi="黑体" w:eastAsia="黑体" w:cs="黑体"/>
          <w:bCs/>
          <w:color w:val="000000"/>
          <w:sz w:val="32"/>
          <w:szCs w:val="32"/>
          <w:highlight w:val="none"/>
          <w:lang w:val="en-US"/>
        </w:rPr>
        <w:t xml:space="preserve"> </w:t>
      </w:r>
      <w:r>
        <w:rPr>
          <w:rFonts w:hint="eastAsia" w:ascii="黑体" w:hAnsi="黑体" w:eastAsia="黑体" w:cs="黑体"/>
          <w:bCs/>
          <w:color w:val="000000"/>
          <w:sz w:val="32"/>
          <w:szCs w:val="32"/>
          <w:highlight w:val="none"/>
        </w:rPr>
        <w:t xml:space="preserve">采购项目需求</w:t>
      </w:r>
      <w:r/>
    </w:p>
    <w:p>
      <w:pPr>
        <w:spacing w:line="360" w:lineRule="auto"/>
        <w:shd w:val="clear" w:color="auto" w:fill="auto"/>
        <w:widowControl/>
        <w:rPr>
          <w:rFonts w:hint="eastAsia" w:ascii="宋体" w:hAnsi="宋体" w:eastAsia="宋体"/>
          <w:color w:val="000000"/>
          <w:sz w:val="21"/>
          <w:szCs w:val="21"/>
          <w:highlight w:val="none"/>
          <w:lang w:eastAsia="zh-CN"/>
        </w:rPr>
        <w:outlineLvl w:val="1"/>
      </w:pPr>
      <w:r>
        <w:rPr>
          <w:rFonts w:hint="eastAsia" w:ascii="宋体" w:hAnsi="宋体" w:eastAsia="宋体"/>
          <w:b/>
          <w:color w:val="000000"/>
          <w:sz w:val="21"/>
          <w:szCs w:val="21"/>
          <w:highlight w:val="none"/>
          <w:lang w:val="en-US"/>
        </w:rPr>
        <w:t xml:space="preserve">    </w:t>
      </w:r>
      <w:r>
        <w:rPr>
          <w:rFonts w:hint="eastAsia" w:ascii="宋体" w:hAnsi="宋体" w:eastAsia="宋体"/>
          <w:b/>
          <w:bCs/>
          <w:color w:val="000000"/>
          <w:sz w:val="21"/>
          <w:szCs w:val="21"/>
          <w:highlight w:val="none"/>
        </w:rPr>
        <w:t xml:space="preserve">一、项目名称：</w:t>
      </w:r>
      <w:r>
        <w:rPr>
          <w:rFonts w:hint="eastAsia" w:ascii="宋体" w:hAnsi="宋体" w:eastAsia="宋体"/>
          <w:color w:val="000000"/>
          <w:sz w:val="21"/>
          <w:szCs w:val="21"/>
          <w:highlight w:val="none"/>
          <w:lang w:eastAsia="zh-CN"/>
        </w:rPr>
        <w:t xml:space="preserve">南京市食品药品监督检验院仪器配件耗材采购</w:t>
      </w:r>
      <w:r/>
    </w:p>
    <w:p>
      <w:pPr>
        <w:spacing w:line="360" w:lineRule="auto"/>
        <w:shd w:val="clear" w:color="auto" w:fill="auto"/>
        <w:rPr>
          <w:rFonts w:hint="eastAsia" w:ascii="宋体" w:hAnsi="宋体" w:eastAsia="宋体"/>
          <w:b/>
          <w:bCs/>
          <w:color w:val="000000"/>
          <w:sz w:val="21"/>
          <w:szCs w:val="21"/>
          <w:highlight w:val="none"/>
          <w:lang w:val="en-US"/>
        </w:rPr>
        <w:outlineLvl w:val="1"/>
      </w:pPr>
      <w:r>
        <w:rPr>
          <w:rFonts w:hint="eastAsia" w:ascii="宋体" w:hAnsi="宋体" w:eastAsia="宋体"/>
          <w:b/>
          <w:bCs/>
          <w:color w:val="000000"/>
          <w:sz w:val="21"/>
          <w:szCs w:val="21"/>
          <w:highlight w:val="none"/>
          <w:lang w:val="en-US"/>
        </w:rPr>
        <w:t xml:space="preserve">    二、项目概况</w:t>
      </w:r>
      <w:r/>
    </w:p>
    <w:p>
      <w:pPr>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color w:val="000000"/>
          <w:sz w:val="21"/>
          <w:szCs w:val="21"/>
          <w:highlight w:val="none"/>
          <w:lang w:val="en-US"/>
        </w:rPr>
        <w:t xml:space="preserve">本项目为</w:t>
      </w:r>
      <w:r>
        <w:rPr>
          <w:rFonts w:hint="eastAsia" w:ascii="宋体" w:hAnsi="宋体" w:eastAsia="宋体"/>
          <w:color w:val="000000"/>
          <w:sz w:val="21"/>
          <w:szCs w:val="21"/>
          <w:highlight w:val="none"/>
          <w:lang w:val="en-US" w:eastAsia="zh-CN"/>
        </w:rPr>
        <w:t xml:space="preserve">南京市食品药品监督检验院仪器配件耗材采购</w:t>
      </w:r>
      <w:r>
        <w:rPr>
          <w:rFonts w:hint="eastAsia" w:ascii="宋体" w:hAnsi="宋体" w:eastAsia="宋体"/>
          <w:color w:val="000000"/>
          <w:sz w:val="21"/>
          <w:szCs w:val="21"/>
          <w:highlight w:val="none"/>
          <w:lang w:val="en-US"/>
        </w:rPr>
        <w:t xml:space="preserve">采购，项目内容包括但不限于产品采购、运输、安装、调试、提供备品备件、专业安装工具直至交付使用通过验收、售后服务等。</w:t>
      </w:r>
      <w:r/>
    </w:p>
    <w:p>
      <w:pPr>
        <w:numPr>
          <w:ilvl w:val="0"/>
          <w:numId w:val="5"/>
        </w:numPr>
        <w:ind w:left="0" w:firstLine="422"/>
        <w:spacing w:line="360" w:lineRule="auto"/>
        <w:shd w:val="clear" w:color="auto" w:fill="auto"/>
        <w:rPr>
          <w:rFonts w:hint="eastAsia" w:ascii="宋体" w:hAnsi="宋体" w:eastAsia="宋体"/>
          <w:color w:val="000000"/>
          <w:sz w:val="21"/>
          <w:szCs w:val="21"/>
          <w:highlight w:val="none"/>
        </w:rPr>
        <w:outlineLvl w:val="1"/>
      </w:pPr>
      <w:r>
        <w:rPr>
          <w:rFonts w:hint="eastAsia" w:ascii="宋体" w:hAnsi="宋体" w:eastAsia="宋体"/>
          <w:b/>
          <w:color w:val="000000"/>
          <w:sz w:val="21"/>
          <w:szCs w:val="21"/>
          <w:highlight w:val="none"/>
        </w:rPr>
        <w:t xml:space="preserve">采购标的需实现的功能及标准、规范：</w:t>
      </w:r>
      <w:r>
        <w:rPr>
          <w:rFonts w:hint="eastAsia" w:ascii="宋体" w:hAnsi="宋体" w:eastAsia="宋体"/>
          <w:color w:val="000000"/>
          <w:sz w:val="21"/>
          <w:szCs w:val="21"/>
          <w:highlight w:val="none"/>
        </w:rPr>
        <w:t xml:space="preserve">采购标的需执行国家标准、行业标准、地方标准或者其他标准、规范。</w:t>
      </w:r>
      <w:r/>
    </w:p>
    <w:p>
      <w:pPr>
        <w:ind w:firstLine="422"/>
        <w:spacing w:line="360" w:lineRule="auto"/>
        <w:shd w:val="clear" w:color="auto" w:fill="auto"/>
        <w:rPr>
          <w:rFonts w:hint="eastAsia"/>
        </w:rPr>
        <w:outlineLvl w:val="1"/>
      </w:pPr>
      <w:r>
        <w:rPr>
          <w:rFonts w:hint="eastAsia" w:ascii="宋体" w:hAnsi="宋体" w:eastAsia="宋体"/>
          <w:b/>
          <w:color w:val="000000"/>
          <w:sz w:val="21"/>
          <w:szCs w:val="21"/>
          <w:highlight w:val="none"/>
        </w:rPr>
        <w:t xml:space="preserve">四、采购设备技术</w:t>
      </w:r>
      <w:r>
        <w:rPr>
          <w:rFonts w:hint="eastAsia" w:ascii="宋体" w:hAnsi="宋体" w:eastAsia="宋体"/>
          <w:b/>
          <w:color w:val="000000"/>
          <w:sz w:val="21"/>
          <w:szCs w:val="21"/>
          <w:highlight w:val="none"/>
          <w:lang w:val="en-US"/>
        </w:rPr>
        <w:t xml:space="preserve">指标等</w:t>
      </w:r>
      <w:r>
        <w:rPr>
          <w:rFonts w:hint="eastAsia" w:ascii="宋体" w:hAnsi="宋体" w:eastAsia="宋体"/>
          <w:b/>
          <w:color w:val="000000"/>
          <w:sz w:val="21"/>
          <w:szCs w:val="21"/>
          <w:highlight w:val="none"/>
        </w:rPr>
        <w:t xml:space="preserve">要求</w:t>
      </w:r>
      <w:r/>
    </w:p>
    <w:tbl>
      <w:tblPr>
        <w:tblStyle w:val="783"/>
        <w:tblpPr w:horzAnchor="page" w:tblpX="1416" w:vertAnchor="text" w:tblpY="383"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2"/>
        <w:gridCol w:w="2142"/>
        <w:gridCol w:w="3833"/>
        <w:gridCol w:w="883"/>
        <w:gridCol w:w="705"/>
        <w:gridCol w:w="1025"/>
      </w:tblGrid>
      <w:tr>
        <w:trPr>
          <w:trHeight w:val="490"/>
        </w:trPr>
        <w:tc>
          <w:tcPr>
            <w:gridSpan w:val="6"/>
            <w:shd w:val="clear" w:color="auto" w:fill="ffffff"/>
            <w:tcW w:w="500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采购需求目录</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b/>
                <w:bCs/>
                <w:i w:val="0"/>
                <w:iCs w:val="0"/>
                <w:color w:val="000000"/>
                <w:sz w:val="21"/>
                <w:szCs w:val="21"/>
                <w:u w:val="none"/>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序号</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b/>
                <w:bCs/>
                <w:i w:val="0"/>
                <w:iCs w:val="0"/>
                <w:color w:val="000000"/>
                <w:sz w:val="21"/>
                <w:szCs w:val="21"/>
                <w:u w:val="none"/>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产品名称</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b/>
                <w:bCs/>
                <w:i w:val="0"/>
                <w:iCs w:val="0"/>
                <w:color w:val="000000"/>
                <w:sz w:val="21"/>
                <w:szCs w:val="21"/>
                <w:u w:val="none"/>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规格型号</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b/>
                <w:bCs/>
                <w:i w:val="0"/>
                <w:iCs w:val="0"/>
                <w:color w:val="000000"/>
                <w:sz w:val="21"/>
                <w:szCs w:val="21"/>
                <w:u w:val="none"/>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包装单位</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b/>
                <w:bCs/>
                <w:i w:val="0"/>
                <w:iCs w:val="0"/>
                <w:color w:val="000000"/>
                <w:sz w:val="21"/>
                <w:szCs w:val="21"/>
                <w:u w:val="none"/>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数量</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b/>
                <w:bCs/>
                <w:i w:val="0"/>
                <w:iCs w:val="0"/>
                <w:color w:val="000000"/>
                <w:sz w:val="21"/>
                <w:szCs w:val="21"/>
                <w:u w:val="none"/>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在用品牌</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2ml样品瓶瓶盖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螺口，蓝色，PTFE/红色硅橡胶隔垫,100/包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玻璃内插管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样品瓶内插管，400 uL，玻璃，平底 ,500/包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2ml样品瓶认证级别，带书写签</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螺口，透明，带书写签，经认证，2 mL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2ml样品瓶认证级别</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螺口，透明，经认证，2 mL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Eclipse Plus C18柱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Eclipse Plus C18 色谱柱4.6 × 250 mm, 5 μm,1/根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Bond Elut HLB前处理小柱</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200 mg，6 mL 管,30/包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测试调谐试剂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ESI-L 低浓度调谐混标100ml,1/瓶</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液相柱ZORBAX SB -C18</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ZORBAX SB 80Å C18柱，4.6x250mm，5um,1/根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 mm 顶空铝质钳口盖</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带 PTFE/硅橡胶隔垫20 mm 顶空铝质钳口盖,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蓝色固定螺口盖</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预开口 PTFE/白色硅橡胶隔垫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2ml样品瓶认证级别，棕色</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螺口，2 mL，棕色，带书写签，经认证，,100/包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EMR-Lipid固相萃取柱</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Bond Elut EMR-Lipid 分散 SPE ,50/包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2ml绿色瓶盖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绿色，PTFE/红色硅橡胶隔垫 ,500/包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经济型棕色样品瓶，</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螺口，棕色，带书写签，2 mL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QuEChERS 萃取盐包，EN 15662 方法</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内容物：4 g MgSO4、1 g NaCl、1 g 柠檬酸钠、0.5 g 柠檬酸二钠盐,50/包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60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液相柱 Eclipse Plus C18柱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Eclipse Plus C18 色谱柱2.1 x 100 mm, 1.8 µm ,1/根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QuEChERS 分散试剂盒</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15mL分散SPE试剂盒，用于分析水果和蔬菜，适用于EN方法，含 150 mg PSA、900 mg MgSO4,50/包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灯丝</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高温，EI 离子源,1/包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PTFE 滤芯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用于分析泵,5/包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液相柱 Eclipse Plus C18柱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Eclipse Plus C18 色谱柱4.6x150mm，3.5um,1/根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过滤器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玻璃过滤器，溶剂入口,1/包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滤盘</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直径 2.1 mm，孔径 0.2 µm ,5/包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液相柱 Eclipse Plus C18柱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Eclipse Plus C18 色谱柱2.1×50mm, 1.8μm,1/根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液相柱 Eclipse Plus C18柱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Eclipse Plus C18 色谱柱3x150mm1.8um,1/根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7900/8900 镍截取锥</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配备 x 透镜的 7900、8900 ICP-MS 的镍截取锥。,1/包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气相柱HP-5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30 m，0.32 mm，0.25 um，7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Bond Elut HLB</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500 mg，6 mL 管,30/包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QuEChERS 萃取盐包 AOAC 方法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内容物：6 g MgSO4、1.5 g 乙酸钠. QuEChERS AOAC 2007.01 方法，萃取盐,50/包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气相柱HP-INNOWax色谱柱</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30 m，0.32 mm，0.5 um，7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通用柱螺帽</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GC 进样口/检测器接头。1/4 英寸，用扳手拧紧 ,2/包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VL过滤器 尼龙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ValueLab 过滤器，尼龙，13 mm，0.2 um，100/包,100/包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85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QuEChERS dSPE GB23200.113，用于茶叶和调味品</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包含：1200 mg MgSO4、400 mg PSA、400 mg C18 和 200 mg GCB,50/包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U  雾化器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U 系列 MicroMist 雾化器（玻璃） ,1/包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EMR反萃固相萃取柱</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EMR-Lipid Bond Elut Polish反萃管 ,50/包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液相柱 Eclipse Plus C18柱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Eclipse Plus C18 4.6 x 150 mm, 5 µm ,1/根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60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液相柱ZORBAX SB -C18</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StableBond C18 色谱柱，4.6 x 150 mm，5 µm，400 bar. ,1/根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 uL 内插管</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带聚合物支脚内插管,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原始 QuEChERS 萃取管带均质子</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 g MgSO4, 1 g NaCl ，带 50 mL 试管，带陶瓷均质子, 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Poroshell  EC-C18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Poroshell 120 EC-C18，4.6x150mm，4μm，带柱ID,1/根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气相柱CP-Sil 88FAME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100m，0.25mm，0.20u，7英寸,1/根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VL过滤器 PTFE-Q</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ValueLab，PTFE-Q，13mm，0.2um，100/包,100/包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Poroshell  EC-C18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2.1×100 mm,1.9um,T,1/根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Eclipse XDB   C18柱</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4.6x250mm，5um,1/根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质谱铜螺母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用于质谱接口的柱螺帽,1/包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 Carbon/NH2柱</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500/500mg，6mL ,30/包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气相柱HP-5MS UI  Intuvo 0.25mm</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HP-5ms UI Intuvo  ，30 m，0.25 mm，0.25 µm. ,1/根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进样阀转子密封垫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进样阀转子密封垫，1300 bar ,1/包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 Captiva EMR-Lipid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Captiva EMR-Lipid，3mL，300mg，100/包,100/包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不分流衬管</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惰性不分流，单锥，玻璃毛,1/包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通用衬管</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超高惰性，通用，低压降，带玻璃毛,1/包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Poroshell  EC-C18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Poroshell 120 EC-C18，3.0x150mm，2.7um,1/根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60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保护柱Eclipse Plus C18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RRHD Eclipse Plus C18，2.1 mm, 1.8 µm，1200 bar，UHPLC 保护柱,3/包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Eclipse XDB   C 8柱</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EclipseXDB 80Å C8，4.6x250mm，5um,1/根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Gas Clean 气体净化过滤器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Gas Clean 气体净化过滤器，载气,1/包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固相萃取柱,Bond Elut NH2柱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Bond Elut NH2柱，200mg，6mL，40μm, 30/包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气相柱DB-5MS UI 60M</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超高惰性柱，60 m, 0.25 mm, 0.25 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气相柱DB-WAX   UI</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J&amp;W DB-WAX  超高惰性柱，30m，0.25mm，0.25μm,1/根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活性炭过滤器</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58 g，带时间标签,1/包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塑料孔塞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螺纹堵头，1/8英寸，PTFE，用于安全盖 ,2/包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快速连接组件 150mm</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InfinityLab 快速连接组件，不锈钢，0.12x150mm,1/包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密封垫圈</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0.5 mm 石墨，用于 0.32 mm 色谱柱 ,10/包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密封垫圈</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0.4 mm VG，用于 0.1–0.25 mm 色谱柱 ,10/包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大包装进样针 10uL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进样针，10uL，固定式针头，23-26s/42/锥形针尖，,6/包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预组装 棕色样品瓶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套件，螺口，预组装，棕色样品瓶，带书写签，绿色瓶盖，2mL，,100/包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认证顶空样品瓶</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顶空，钳口，平底，20 mL，透明，经认证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固相萃取柱,Captiva EMR-Lipid 6 mL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Captiva EMR-Lipid，6 mL，600 mg，50/包,50/包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通用中扩散滤芯衬管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通用超高惰性中扩散滤芯衬管，4 mm ,25/包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VL预开口瓶盖</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黑色，螺口，固定，预开口，PTFE/硅橡胶，2mL，,100/包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VL过滤器 尼龙 0.45</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ValueLab 过滤器，尼龙，13 mm，0.45 um，100/包,100/包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VL过滤器 大PTFE-Q 0.45</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ValueLab，PTFE-Q，25mm，0.45um，100/包,100/包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VL QuEChERS dSPE ，水果/蔬菜，EN</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ValueLab QuEChERS 分散试剂盒. 一般水果和蔬菜，EN 方法。包含：25 mg PSA、150 mg MgSO4。,100/包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15mL 分散SPE试剂盒 EN 水果</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15mL 分散SPE试剂盒，用于分析有色水果和蔬菜，EN方法含 150 mg PSA、15 mg GCB、885 mg MgSO4。,50/包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密封垫圈</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0.4 mm G，用于 0.05–0.25 mm 色谱柱 ,10/包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Poroshell  EC-C18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Poroshell 120 EC-C18柱，4.6x250mm，4um,1/根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Poroshell  EC-C18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PS120 EC-C18，3x150mm，2.7μm，带柱ID,1/根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60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ZORBAX SB   C18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RRHD StableBond C8, 1.8 µm, 2.1 x 100 mm, 1200 bar.,1/根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ICP-MS 镍采样锥</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ICP-MS 采样锥，镍尖，带有铜基座。 ,1/包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ICP-MS 镀镍采样锥</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ICP-MS 采样锥，镍尖，带有镀镍基座。 ,1/包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 DB-EUPAH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DB-EUPAH ，20m,0.18mm,0.14um，7英寸柱架,1/根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 DB-1701</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DB-1701柱，30m，0.32mm，0.25um，7英寸柱架,1/根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气相柱DB-WAX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DB-WAX 柱，30 m，0.32 mm，0.25 um，7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气相柱DB-WAX  0.32mm</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J&amp;W DB-WAX  超高惰性柱，60m，0.32mm，0.25μm,1/根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气相柱HP-INNOWax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 m，0.25 mm，0.25 um，7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气相柱HP-1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30 m，0.32 mm，0.25 um，7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点火火花塞组件</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用于 标准 FID 点火器模块的备用组件。,1/包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安全阀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InfinityLab放空阀，PTFE，带时间标签,1/包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用于废液瓶的安全盖</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S60，带 4 个插口,1/包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60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在线过滤器组件 2.1 mm</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用于 UHPLC. 包括 5 个滤盘（直径 2.1 mm，孔径 0.2 µm），带 90 mm 毛细管软管,1/包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60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进样针 10 µL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进样针，10 µL，固定式针头，23-26s/42/锥形针尖.,1/包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玻璃内插管 150ul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150uL，玻璃，圆锥形，带支架，2mL标准口样品瓶，100/包,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BTO 进样隔垫</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11 mm 不粘连,100/包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分流大包装衬管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进样口衬管，超高惰性，分流，低压降，带玻璃毛，,25/包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大包装 优级RC针头过滤器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再生纤维素，15 mm，0.2 um ,1000/包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Bond Elut HLB</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60 mg，3 mL 管,50/包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TC-C18(2)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4.6 × 250 mm, 5 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Poroshell  SB-C18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Poroshell 120 SB-C18，2.1x150mm，2.7um,1/根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Poroshell  EC-C18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Poroshell 120 EC-C18，4.6x150mm，2.7um,1/根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ZORBAX Extend   C18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Extend 80Å C18柱，4.6x250mm，5um,1/根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保护柱Poroshell EC-C18</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4.6mm，4um，液相保护柱 ,3/包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ZORBAX SB   C18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SB 80Å C18柱，2.1x150mm，3.5um,1/根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液相柱 Eclipse Plus C18柱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Eclipse Plus C18 色谱柱2.1x150mm1.8um,1/根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Eclipse PAH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Eclipse PAH 柱，4.6 × 250 mm, 5 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Eclipse XDB  C18柱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Eclipse XDB 80Å C18柱，4.6x150mm，5um,1/根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 位连接单元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Gas Clean 连接单元，1 位，1/8 英寸,1/包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预开口瓶盖</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螺口，蓝色，预开口 PTFE/硅橡胶,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EMR-LPD</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包含 Carbon S，6 mL ,30/包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Captiva EMR-Lipid HF</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3 mL，300 mg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QuEChERS 分散试剂盒 AOAC 方法</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QuEChERS 分散试剂盒，一般水果和蔬菜，AOAC 方法含 50 mg PSA、150 mg MgSO4。,100/包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QuEChERS 萃取盐 EN 带均质子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内容物：4 g MgSO4、1 g NaCl、1 g 柠檬酸钠、0.5 g 柠檬酸二钠盐和 50 mL 试管带陶瓷均质子 , 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经济型大包装瓶盖</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黑色，螺口，固定，PTFE/硅橡胶，2 mL ,1000/包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固相萃取套件 QuEChERS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含 900 mg MgSO4、300 mg PSA、300 mg C18、90 mg GCB 和 300 mg 二氧化硅,50/包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预开口瓶盖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瓶盖，螺口，蓝色，预开口的固定 PTFE/硅橡胶隔垫，,100/包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固相萃取柱,Bond Elut NH2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Bond Elut NH2柱，1g，6mL，40μm ,30/包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固相萃取柱,Bond Elut Florisil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Bond Elut Florisil 柱，1 g，6 Ml ,30/包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固相萃取柱,Bond Elut NH2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Bond Elut NH2柱，500mg，6mL，40μm ,30/包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 DB-WAX UI 60M</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J&amp;W DB-WAX  超高惰性柱，60m，0.25mm，0.25μm,1/根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气相柱DB-17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DB-17 柱，30 m，0.32 mm，0.25 um，7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安全盖 GL45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InfinityLab 安全盖，GL45，带 1 个插口、1 个放空阀,1/包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顶空螺口样品瓶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顶空，螺口，20 mL，透明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磁性顶空瓶盖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隔垫，螺口，顶空，磁性瓶盖，PTFE/硅橡胶隔垫（顶部白色，底部蓝色）,100/包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VL钳口大包装瓶</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样品瓶，钳口，2 mL，透明 ,10000/盒</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Intuvo  垫圈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Intuvo 聚酰亚胺垫圈 ,5/包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VL过滤器PES 0.45</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ValueLab 过滤器，PES，13 mm，0.45 um，100/包,100/包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EMR-GPD</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包含 Carbon S，6 mL ,30/包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VL QuEChERS 萃取管 EN</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包含：4 g MgSO4、1 g NaCl、1 g 柠檬酸钠、0.5 g 柠檬酸二钠盐。包含 50 mL 试管,50/包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85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15mL分散SPE试剂盒 EN</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15mL分散SPE试剂盒，分析含脂肪和蜡质的水果和蔬菜，EN 含 150 mg PSA、150 mg C18EC、900 mg MgSO4。,50/包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原始 QuEChERS 萃取管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4 g MgSO4、1 g NaCl，带 50 mL 试管.,50/包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QuEChERS 萃取管 AOAC 方法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试剂盒内容物：6 g MgSO4、1.5 g 乙酸钠，包含 50 mL 试管，带陶瓷均质子, 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经济大包装透明样品瓶</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螺口，2 mL，透明，带书写 ,10000/包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液相柱Poroshel SB-C18</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SB-C18色谱柱，2.1×100mm, 2.7um,1/根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Poroshell  HILIC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Poroshell 120 HILIC柱，3.0x100mm，2.7um,1/根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液相柱ZORBAX SB -C8</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SB 80Å C8柱，4.6x250mm，5um,1/根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 VF-1301ms柱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VF-1301ms柱，30m，0.25mm，1.00μm，7英寸柱架,1/根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过滤器,油雾过滤器，3/8 BSP 外螺纹</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油雾过滤器，3/8 BSP 外螺纹,1/包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手拧式色谱柱螺母部件,色谱柱螺帽组件，手紧式</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色谱柱螺帽组件，手紧式,1/包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针座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高压针座 0.12 mm，PEEK,1/包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Intuvo  保护柱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Intuvo MMI 芯片式保护柱 ,2/包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进样口柱螺帽</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用于带长密封垫圈或长两孔密封垫圈进样口的色谱柱螺帽,1/包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固相萃取柱,Bond Elut SI 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Bond Elut SI 柱，500 mg，3 mL ,50/包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固相萃取柱,Bond Elut PSA柱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Bond Elut PSA柱，500mg，3mL，40um,50/包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固相萃取柱,Bond Elut C18柱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Bond Elut C18柱，500mg，6mL，40μm,30/包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固相萃取柱,Bond Elut Fl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Bond Elut Fl，500 mg，6 mL ,30/包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 Bond Elut Plexa 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Bond Elut Plexa 柱，200 mg，6 mL ,30/包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 Chem Elut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Chem Elut 柱，无缓冲，5.0 mL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Bondesil C18 散装吸附剂</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40 μm，100 g,1/瓶</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气相柱DB-624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DB-624 柱，30 m，0.25 mm，1.40 um，7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气相柱DB-23 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DB-23 柱，60 m，0.25 mm，0.15 um，7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气相柱DB-17ms柱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DB-17ms柱，30m，0.25mm，0.25um，7英寸柱架,1/根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DB-5 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DB-5 柱 0.25 mm, 0.25 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 Bond Elut ENV 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Bond Elut ENV 柱，500 mg，6 mL, 30/包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气相柱DB-5Q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30 m, 0.25 mm, 0.25 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气相柱DB-5ms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DB-5ms 柱，30 m，0.25 mm，1.00 um，7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 DB-5MSUI</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DB-5ms超高惰性柱，30m,0.25mm,1.00um，7英寸柱架,1/根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固相萃取柱,Mega BE Flash，C18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Mega BE Flash，C18，2g，12mL，,20/包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固相萃取柱,Bond Elut Plexa PCX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Bond Elut Plexa PCX，500mg，6mL ,30/包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气相柱DB-WAXetr柱</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DB-WAXetr柱，30m,0.32mm,1.00um，7英寸柱架,1/根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气相柱DB-624 柱</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DB-624 柱，30 m，0.53 mm，3.00 um，7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气相柱DB-5ms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DB-5ms 柱，30 m，0.25 mm，0.25 um，7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气相柱HP-INNOWax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30 m，0.32 mm，0.25 um, 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气相柱HP-INNOWax，Intuvo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0.25mm, 0.25um,Intuvo,1/根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气相柱HP-5MS Intuvo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30m，0.25mm，0.50um, Intuvo ,1/根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气相柱HP-5ms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15 m，0.25 mm，0.25 um，7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60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气相柱HP-5MS UI</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HP-5ms UI，15 m, 0.25 mm, 0.25 µm，7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60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气相柱HP-5MS UI</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HP-5ms UI，30 m，0.25 mm，0.25 µm，7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气相柱HP-FFAP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30 m，0.53 mm，1.00 um，7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气相柱HP-5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HP-5 柱，30 m，0.53 mm，1.50 um，7 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气相柱HP-INNOWax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HP-INNOWax色谱柱 30 m，0.53 mm，1.0 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氘灯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氘灯，带 RFID，用于 DAD/MWD,1/包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Agilent Prep-C18制备型色谱柱,21.2×150 mm,10μm</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21.2×150 mm,10μm,1/根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氘灯</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8 针，带 RFID，用于 DAD,1/包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60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密封垫圈 0.8 mm G，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密封垫圈，0.8 mm G，用于 0.45–0.53 mm 色谱柱 ,10/包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ICPMS 蠕动泵管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ICPMS 蠕动泵管，样品，白色/白色，,12/包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ICPMS 蠕动泵管 内标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ICPMS 蠕动泵管，内标，蓝色/橙色 ,12/包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不锈钢堵头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死堵头，手紧式,1/包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不锈钢毛细管</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0.17 x 280,1/包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过滤芯,用于 1290 在线过滤器的滤芯，0.3 um，5/包</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用于 1290 在线过滤器的滤芯，0.3 um ,5/包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手动封盖钳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封盖器，手动，用于 11 mm 瓶盖,1/包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手动启盖钳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启盖器，手动，用于 11 mm 瓶盖,1/包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密封垫圈 0.4 mm VG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密封垫圈，0.4 mm VG，0.25 mm 色谱柱，长型 ,10/包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PEEK 手紧式接头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1/16 英寸 PEEK 手紧式接头 ,10/包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不锈钢软管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连接毛细管，不锈钢软管，0.17 mm 内径，600 mm，无接头,1/包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超长接头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超长接头和密封垫圈，不锈钢 ,10/包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塑料接头 Y 型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有倒钩的 Y 型聚丙烯接头，用于内径 3/16 英寸的管，,10/包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60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在线过滤器组件4.6 mm</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包括 5 个滤盘（直径 4.6 mm，孔径 0.5 µm），带 90 mm 毛细管软管,1/包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60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二合一在线过滤器组件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包括 5 个滤盘（内径 4.6 mm，孔径 0.5 µm），带集成式 Quick Turn 接头,1/包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快速连接组件 105mm</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Quick Connect，不锈钢，0.12×105mm,1/包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棉签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棉签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缩径接头</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缩径接头1/4 × 1/8 黄铜 ,2/包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清洗金属丝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0.018英寸内径喷嘴（也用于0.011英寸内径喷嘴） ,5/包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O 形圈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尺寸 2-006 O 形圈，碳氟化合物 ,12/包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预组装 透明样品瓶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套件，螺口，预组装，透明样品瓶，带书写标签，蓝色瓶盖，2mL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50uL 进样针</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进样针，50uL，固定式针头，23-26s/42/锥形针尖PTFE头推杆,1/包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螺口 顶空棕色瓶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样品瓶，螺口，顶空，棕色，20 mL，23 × 75 mm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样品瓶 带 300 uL 固定内插管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样品瓶，螺口，透明，带 300 uL 固定内插管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液相柱Agilent HC-C8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Agilent HC-C8 柱，4.6 × 250 mm, 5 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不分流大包装衬管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进样口衬管，超高惰性，不分流，单细径锥，带玻璃毛，,25/包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直型 SPME衬管</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进样口衬管，超高惰性，不分流，直型，0.75mm内径，用于SPME,1/包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中部砂芯衬管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通用超高惰性中部砂芯衬管，4 mm ,5/包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小优级RC针头过滤器</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优级针头过滤器，再生纤维素，0.2 um，15 mm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优级RC针头过滤器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再生纤维素，0.2 um，25 mm ,100/包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Bio-Monolith Protein G亲和色谱柱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Bio-Monolith Protein G亲和色谱柱，5.2×4.95,1/根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VL银色钳口盖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银色钳口盖，红色PTFE/硅橡胶隔垫，2mL ,1000/包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VL钳口瓶</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样品瓶，钳口，透明，带书写签，2 mL，100/包,100/包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VL过滤器 大尼龙 0.45</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ValueLab 过滤器，尼龙，25 mm，0.45 um，100/包,100/包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VL过滤器 大PTFE-Q</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ValueLab，PTFE-Q，25mm，0.2um，100/包,100/包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VL过滤器PES</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ValueLab 过滤器，PES，13 mm，0.2 um，100/包,100/包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真空泵油</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45 Platinum，1 夸脱,1/瓶</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QTOF 调谐混标</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QTOF LC/MS ESI-X 调谐混标,1/瓶</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FID 喷嘴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FID 喷嘴，通用接头，内径 0.011 英寸,1/包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鉍（BI ）灯</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鉍（BI）单元素无编码空心阴极灯,1/包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钙（CA） 灯</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钙（CA）单元素无编码空心阴极灯,1/包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铬（CR） 灯</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铬（CR）单元素无编码空心阴极灯,1/包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铁（FE） 灯</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铁（FE）单元素无编码空心阴极灯,1/包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汞（HG） 灯</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汞（HG）单元素无编码空心阴极灯,1/包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固相萃取柱 Chem Elut S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Chem Elut S 5 mL 样品 20 mL 管, 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散装 Carbon S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 Carbon S，散装，100 g,1/瓶</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液相柱ValueLabLC GP-C30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4.6 × 250 mm, 3 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EMR反萃管</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EMR-Lipid Polish除脂萃取盐包，仅MgSO4 ,50/包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SPE 硅胶吸附剂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SPE 散装，25 g瓶装SampliQ固相萃取 (SPE),1/瓶</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QuEChERS 萃取盐 EN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内容物：4 g MgSO4、1 g NaCl、1 g 柠檬酸钠、0.5 g 柠檬酸二钠盐和 50 mL 试管, 50/包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硫酸镁,SampliQ 无水硫酸镁</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SampliQ 无水硫酸镁,1/瓶</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大包装经济型样品瓶</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螺口，2 mL，棕色，带书写签 ,10000/包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ICP-OES 波长校准浓缩液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瓶装 ICP-OES 波长校准浓缩液，500 mL，50 ppm,1/瓶</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AdvanceBio糖谱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AdvanceBio糖谱分析120Å，4.6x150mm，2.7um,1/根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液相柱Poroshell120 HILIC-Z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2.1×100mm,2.7u，T,1/根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Poroshell EC-C18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Poroshell EC-C18，2.1x150mm，1.9um，带ID,1/根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真空泵油</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68 Platinum，1 夸脱,1/瓶</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Poroshell  EC-C18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Poroshell 120 EC-C18柱，2.1x150mm，4um,1/根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Poroshell  HILIC 带ID</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3x100mm，2.7μm，带柱ID,1/根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60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保护柱Eclipse Plus C18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Eclipse Plus C18, 4.6 x 12.5 mm, 5 µm, 400 bar，保护柱芯 (ZGC)，4/包,4/包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ZORBAX 300Å SCX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300Å SCX色谱柱，3.0 x 50 mm，5 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ZORBAX SB   CN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SB 80Å CN柱，4.6x150mm，3.5um,1/根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60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液相柱Rx/SB-C8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RR StableBond C8 色谱柱，4.6 x 150 mm，3.5 µm.,1/根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液相柱SAX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SAX 分析型 HPLC 色谱柱 4.6 × 250,1/根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300 SCX   液相柱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300 SCX 分析型 HPLC 色谱柱 4.6 × 250,1/根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液相柱ZORBAX Original  NH2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Original  NH2 5um，4.6x250mm,1/根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液相柱ZORBAX Rx-SIL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Rx-SIL柱 5um，4.6x250mm,1/根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液相柱ZORBAX SB   Phenyl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SB 80Å Phenyl柱，4.6x250mm，5um,1/根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液相柱 Eclipse Plus C18柱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Eclipse Plus C18 色谱柱2.1×100mm，3.5um,1/根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液相柱 Eclipse Plus C18柱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Eclipse Plus C18 色谱柱4.6x100mm，3.5um,1/根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液相柱 苯基-己基柱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EP 95Å苯基-己基柱，4.6x250mm，5um,1/根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 Eclipse XDB 苯基柱</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Eclipse XDB 80Å苯基，2.1x150mm，5um,1/根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液相柱EclipseXDB  C8</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ZORBAX EclipseXDB  C84.6x150mm，5um,1/根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液相柱Polaris  C18-A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Polaris 180Å C18-A柱，4.6x250mm，5um,1/根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液相柱Polaris  C18-A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Polaris 180Å C18-A柱，3.0mmx150mm，3 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液相柱Pursuit XRs C18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Pursuit XRs 100Å C18柱，2.0x150mm，3um,1/根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大容量水分捕集阱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大容量水分捕集阱，1/8 英寸，250 psig,1/包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过滤器 水分</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Gas Clean 气体净化过滤器，水分,1/包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气相柱 VF-1301ms</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VF-1301ms柱，30m，0.25mm，0.25μm，7英寸柱架,1/根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PTFE 连接管线</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长 160 mm，内径 0.7 mm，带接头. 用于 SSV/MCGV,1/包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不锈钢连接毛细管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不锈钢连接毛细管，0.17mm，60cm，用作出口毛细管或连接泵到进样器,1/包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流通池</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8 uL，用于 FLD,1/包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FID 收集极绝缘体</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用于 FID 收集极组件的可更换上部/下部 PTFE 绝缘体。,1/包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生物大分子参考标样盒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LC/MS参比质量标准品试剂盒，ES-TOF生物聚合物分析,1/瓶</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电子倍增器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电子倍增器，三轴,1/包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可塑金属密封垫圈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可塑金属密封垫圈，UM Plus，适用于0.25mm色谱柱 ,10/包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石英炬管</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中心管内径 1.5 mm，锥形，用于 ICP-MS,1/包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手拧式 柱螺帽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手拧式凸缘色谱柱螺帽，用于 MSD,1/包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色谱柱深度指示</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翼形柱螺帽和安捷伦手拧式柱螺帽兼容,1/包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入口阀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入口阀，Agilent 1290 Infinity 液相色谱泵,1/包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261</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紧固螺栓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压缩螺栓，Intuvo,1/包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262</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芯片式保护柱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Intuvo S/SL 芯片式保护柱，,2/包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263</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过滤器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更换油凝聚过滤器，双等离子体 NCD,1/包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264</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电子倍增管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用于 5977x、7000x、7010x 系统的电子倍增器,1/包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265</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Quick-Connect 快速连接热交换器标准</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内径 0.12 mm，1.6 µL,1/包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266</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离子交换柱 PRP-X100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PRP-X100 10 um 色谱柱，250 mm × 4.1 mm,1/根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267</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PL aquagel-OH色谱柱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PL aquagel-OH色谱柱，7.5mm×300mm，5um,1/根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570"/>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268</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PL aquagel-OH色谱柱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PL aquagel-OH色谱柱，7.5mmx50mm，5 um，保护柱,1/根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31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269</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PL-SAX 1000Å色谱柱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PL-SAX 1000Å色谱柱，4.6 x 250 mm，10 um,1/根</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ffffff"/>
            <w:tcW w:w="373"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270</w:t>
            </w:r>
            <w:r/>
          </w:p>
        </w:tc>
        <w:tc>
          <w:tcPr>
            <w:shd w:val="clear" w:color="auto" w:fill="ffffff"/>
            <w:tcW w:w="1154"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过滤管 </w:t>
            </w:r>
            <w:r/>
          </w:p>
        </w:tc>
        <w:tc>
          <w:tcPr>
            <w:shd w:val="clear" w:color="auto" w:fill="ffffff"/>
            <w:tcW w:w="206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大容量通用捕集阱，氮气，1/4 英寸，250 psig,1/包</w:t>
            </w:r>
            <w:r/>
          </w:p>
        </w:tc>
        <w:tc>
          <w:tcPr>
            <w:shd w:val="clear" w:color="auto" w:fill="ffffff"/>
            <w:tcW w:w="476"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ffffff"/>
            <w:tcW w:w="380"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ffffff"/>
            <w:tcW w:w="54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安捷伦</w:t>
            </w:r>
            <w:r/>
          </w:p>
        </w:tc>
      </w:tr>
    </w:tbl>
    <w:p>
      <w:pPr>
        <w:pStyle w:val="1385"/>
        <w:ind w:left="0"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ind w:firstLine="211"/>
        <w:jc w:val="left"/>
        <w:keepLines w:val="0"/>
        <w:keepNext w:val="0"/>
        <w:pageBreakBefore w:val="0"/>
        <w:spacing w:before="146" w:line="360" w:lineRule="auto"/>
        <w:widowControl w:val="off"/>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r>
      <w:r/>
    </w:p>
    <w:tbl>
      <w:tblPr>
        <w:tblStyle w:val="783"/>
        <w:tblpPr w:horzAnchor="page" w:tblpX="1661" w:vertAnchor="text" w:tblpY="401" w:leftFromText="180" w:topFromText="0" w:rightFromText="180" w:bottomFromText="0"/>
        <w:tblW w:w="88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513"/>
        <w:gridCol w:w="1138"/>
        <w:gridCol w:w="1183"/>
        <w:gridCol w:w="1070"/>
        <w:gridCol w:w="1193"/>
        <w:gridCol w:w="1192"/>
        <w:gridCol w:w="890"/>
      </w:tblGrid>
      <w:tr>
        <w:trPr>
          <w:trHeight w:val="586"/>
        </w:trPr>
        <w:tc>
          <w:tcPr>
            <w:gridSpan w:val="8"/>
            <w:tcW w:w="8857" w:type="dxa"/>
            <w:vAlign w:val="center"/>
            <w:textDirection w:val="lrTb"/>
            <w:noWrap w:val="false"/>
          </w:tcPr>
          <w:p>
            <w:pPr>
              <w:jc w:val="center"/>
              <w:spacing w:line="276" w:lineRule="auto"/>
              <w:widowControl/>
              <w:rPr>
                <w:rFonts w:hint="eastAsia" w:ascii="仿宋_GB2312" w:hAnsi="仿宋_GB2312" w:eastAsia="仿宋_GB2312" w:cs="仿宋_GB2312"/>
                <w:bCs/>
                <w:color w:val="auto"/>
                <w:sz w:val="21"/>
                <w:szCs w:val="21"/>
              </w:rPr>
            </w:pPr>
            <w:r>
              <w:rPr>
                <w:rFonts w:hint="eastAsia" w:ascii="仿宋_GB2312" w:hAnsi="仿宋_GB2312" w:eastAsia="仿宋_GB2312" w:cs="仿宋_GB2312"/>
                <w:b/>
                <w:bCs w:val="0"/>
                <w:color w:val="auto"/>
                <w:sz w:val="21"/>
                <w:szCs w:val="21"/>
                <w:lang w:eastAsia="zh-CN"/>
              </w:rPr>
              <w:t xml:space="preserve">主要品牌目录</w:t>
            </w:r>
            <w:r/>
          </w:p>
        </w:tc>
      </w:tr>
      <w:tr>
        <w:trPr>
          <w:trHeight w:val="586"/>
        </w:trPr>
        <w:tc>
          <w:tcPr>
            <w:tcW w:w="678" w:type="dxa"/>
            <w:vAlign w:val="center"/>
            <w:textDirection w:val="lrTb"/>
            <w:noWrap w:val="false"/>
          </w:tcPr>
          <w:p>
            <w:pPr>
              <w:jc w:val="center"/>
              <w:spacing w:line="276" w:lineRule="auto"/>
              <w:widowControl/>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序号</w:t>
            </w:r>
            <w:r/>
          </w:p>
        </w:tc>
        <w:tc>
          <w:tcPr>
            <w:tcW w:w="1513" w:type="dxa"/>
            <w:vAlign w:val="center"/>
            <w:textDirection w:val="lrTb"/>
            <w:noWrap w:val="false"/>
          </w:tcPr>
          <w:p>
            <w:pPr>
              <w:jc w:val="center"/>
              <w:spacing w:line="276" w:lineRule="auto"/>
              <w:widowControl/>
              <w:rPr>
                <w:rFonts w:hint="eastAsia" w:ascii="仿宋_GB2312" w:hAnsi="仿宋_GB2312" w:eastAsia="仿宋_GB2312" w:cs="仿宋_GB2312"/>
                <w:bCs/>
                <w:color w:val="auto"/>
                <w:sz w:val="21"/>
                <w:szCs w:val="21"/>
                <w:lang w:val="en-US"/>
              </w:rPr>
            </w:pPr>
            <w:r>
              <w:rPr>
                <w:rFonts w:hint="eastAsia" w:ascii="仿宋_GB2312" w:hAnsi="仿宋_GB2312" w:eastAsia="仿宋_GB2312" w:cs="仿宋_GB2312"/>
                <w:bCs/>
                <w:color w:val="auto"/>
                <w:sz w:val="21"/>
                <w:szCs w:val="21"/>
                <w:lang w:val="en-US"/>
              </w:rPr>
              <w:t xml:space="preserve">产品品牌</w:t>
            </w:r>
            <w:r/>
          </w:p>
        </w:tc>
        <w:tc>
          <w:tcPr>
            <w:tcW w:w="1138"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产品范围</w:t>
            </w:r>
            <w:r/>
          </w:p>
        </w:tc>
        <w:tc>
          <w:tcPr>
            <w:tcW w:w="1183"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是否授权代理</w:t>
            </w:r>
            <w:r/>
          </w:p>
        </w:tc>
        <w:tc>
          <w:tcPr>
            <w:tcW w:w="1070"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代理销售区域</w:t>
            </w:r>
            <w:r/>
          </w:p>
        </w:tc>
        <w:tc>
          <w:tcPr>
            <w:tcW w:w="1193"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授权有效期</w:t>
            </w:r>
            <w:r/>
          </w:p>
        </w:tc>
        <w:tc>
          <w:tcPr>
            <w:tcW w:w="1192"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lang w:val="en-US"/>
              </w:rPr>
            </w:pPr>
            <w:r>
              <w:rPr>
                <w:rFonts w:hint="eastAsia" w:ascii="仿宋_GB2312" w:hAnsi="仿宋_GB2312" w:eastAsia="仿宋_GB2312" w:cs="仿宋_GB2312"/>
                <w:bCs/>
                <w:color w:val="auto"/>
                <w:sz w:val="21"/>
                <w:szCs w:val="21"/>
                <w:lang w:val="en-US"/>
              </w:rPr>
              <w:t xml:space="preserve">折扣率</w:t>
            </w:r>
            <w:r/>
          </w:p>
        </w:tc>
        <w:tc>
          <w:tcPr>
            <w:tcW w:w="890" w:type="dxa"/>
            <w:vAlign w:val="center"/>
            <w:textDirection w:val="lrTb"/>
            <w:noWrap w:val="false"/>
          </w:tcPr>
          <w:p>
            <w:pPr>
              <w:jc w:val="center"/>
              <w:spacing w:line="276" w:lineRule="auto"/>
              <w:widowControl/>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备注</w:t>
            </w:r>
            <w:r/>
          </w:p>
        </w:tc>
      </w:tr>
      <w:tr>
        <w:trPr>
          <w:trHeight w:val="458"/>
        </w:trPr>
        <w:tc>
          <w:tcPr>
            <w:tcW w:w="67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 xml:space="preserve">1</w:t>
            </w:r>
            <w:r/>
          </w:p>
        </w:tc>
        <w:tc>
          <w:tcPr>
            <w:tcW w:w="151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 xml:space="preserve">安捷伦</w:t>
            </w:r>
            <w:r/>
          </w:p>
        </w:tc>
        <w:tc>
          <w:tcPr>
            <w:tcW w:w="113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8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07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2"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89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r>
      <w:tr>
        <w:trPr>
          <w:trHeight w:val="458"/>
        </w:trPr>
        <w:tc>
          <w:tcPr>
            <w:tcW w:w="67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 xml:space="preserve">2</w:t>
            </w:r>
            <w:r/>
          </w:p>
        </w:tc>
        <w:tc>
          <w:tcPr>
            <w:tcW w:w="151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3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8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07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2"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89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r>
      <w:tr>
        <w:trPr>
          <w:trHeight w:val="458"/>
        </w:trPr>
        <w:tc>
          <w:tcPr>
            <w:tcW w:w="67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 xml:space="preserve">3</w:t>
            </w:r>
            <w:r/>
          </w:p>
        </w:tc>
        <w:tc>
          <w:tcPr>
            <w:tcW w:w="151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3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8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07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2"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89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r>
    </w:tbl>
    <w:p>
      <w:pPr>
        <w:ind w:firstLine="211"/>
        <w:jc w:val="left"/>
        <w:keepLines w:val="0"/>
        <w:keepNext w:val="0"/>
        <w:pageBreakBefore w:val="0"/>
        <w:spacing w:before="146" w:line="360" w:lineRule="auto"/>
        <w:widowControl w:val="off"/>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eastAsia="zh-CN"/>
        </w:rPr>
      </w:r>
      <w:r/>
    </w:p>
    <w:p>
      <w:pPr>
        <w:ind w:firstLine="211"/>
        <w:jc w:val="left"/>
        <w:keepLines w:val="0"/>
        <w:keepNext w:val="0"/>
        <w:pageBreakBefore w:val="0"/>
        <w:spacing w:before="146" w:line="360" w:lineRule="auto"/>
        <w:widowControl w:val="off"/>
      </w:pPr>
      <w:r>
        <w:rPr>
          <w:rFonts w:hint="eastAsia" w:ascii="宋体" w:hAnsi="宋体" w:eastAsia="宋体"/>
          <w:b/>
          <w:bCs/>
          <w:color w:val="000000"/>
          <w:sz w:val="21"/>
          <w:szCs w:val="21"/>
          <w:highlight w:val="none"/>
          <w:lang w:val="en-US" w:eastAsia="zh-CN"/>
        </w:rPr>
        <w:t xml:space="preserve">★备注：主要品牌目录均须按实际填写品牌折扣率，未按要求填写的视为无效响应</w:t>
      </w:r>
      <w:r/>
    </w:p>
    <w:p>
      <w:pPr>
        <w:ind w:firstLine="211"/>
        <w:jc w:val="left"/>
        <w:keepLines w:val="0"/>
        <w:keepNext w:val="0"/>
        <w:pageBreakBefore w:val="0"/>
        <w:spacing w:before="146" w:line="360" w:lineRule="auto"/>
        <w:widowControl w:val="off"/>
        <w:rPr>
          <w:rFonts w:ascii="宋体" w:hAnsi="宋体" w:eastAsia="宋体"/>
          <w:b/>
          <w:color w:val="auto"/>
          <w:sz w:val="21"/>
          <w:szCs w:val="21"/>
          <w:highlight w:val="none"/>
        </w:rPr>
      </w:pPr>
      <w:r>
        <w:rPr>
          <w:rFonts w:hint="eastAsia" w:ascii="宋体" w:hAnsi="宋体" w:eastAsia="宋体"/>
          <w:b/>
          <w:bCs/>
          <w:color w:val="auto"/>
          <w:sz w:val="21"/>
          <w:szCs w:val="21"/>
          <w:highlight w:val="none"/>
          <w:lang w:val="en-US" w:eastAsia="zh-CN"/>
        </w:rPr>
        <w:t xml:space="preserve">五</w:t>
      </w:r>
      <w:r>
        <w:rPr>
          <w:rFonts w:hint="eastAsia" w:ascii="宋体" w:hAnsi="宋体" w:eastAsia="宋体"/>
          <w:b/>
          <w:bCs/>
          <w:color w:val="auto"/>
          <w:sz w:val="21"/>
          <w:szCs w:val="21"/>
          <w:highlight w:val="none"/>
          <w:lang w:val="en-US"/>
        </w:rPr>
        <w:t xml:space="preserve">、</w:t>
      </w:r>
      <w:r>
        <w:rPr>
          <w:rFonts w:hint="eastAsia" w:ascii="宋体" w:hAnsi="宋体" w:eastAsia="宋体"/>
          <w:b/>
          <w:color w:val="auto"/>
          <w:sz w:val="21"/>
          <w:szCs w:val="21"/>
          <w:highlight w:val="none"/>
        </w:rPr>
        <w:t xml:space="preserve">产品质量及服务要求</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（一）供应商所供应的标准品耗材，应保证与实验室检测设备配套一致或实验工作不会因此受到阻碍或其它不利影响，否则采购人有权要求中标供应商提供采购人指定标准品耗材，中标供应商须无条件服从。</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（二）供应商须保证所投产品为正常渠道供货以及保证产品质量。</w:t>
      </w:r>
      <w:r/>
    </w:p>
    <w:p>
      <w:pPr>
        <w:ind w:firstLine="420"/>
        <w:spacing w:line="360" w:lineRule="auto"/>
        <w:rPr>
          <w:rFonts w:ascii="宋体" w:hAnsi="宋体" w:eastAsia="宋体"/>
          <w:bCs/>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三</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满足采购清单及技术参数要求、配置（功能）要求并适于使用。</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lang w:val="en-US" w:eastAsia="zh-CN"/>
        </w:rPr>
        <w:t xml:space="preserve">（四）</w:t>
      </w:r>
      <w:r>
        <w:rPr>
          <w:rFonts w:hint="eastAsia" w:ascii="宋体" w:hAnsi="宋体" w:eastAsia="宋体"/>
          <w:bCs/>
          <w:color w:val="auto"/>
          <w:sz w:val="21"/>
          <w:szCs w:val="21"/>
          <w:highlight w:val="none"/>
        </w:rPr>
        <w:t xml:space="preserve">质量保证：</w:t>
      </w:r>
      <w:r>
        <w:rPr>
          <w:rFonts w:hint="eastAsia" w:ascii="宋体" w:hAnsi="宋体" w:eastAsia="宋体"/>
          <w:color w:val="auto"/>
          <w:sz w:val="21"/>
          <w:szCs w:val="21"/>
          <w:highlight w:val="none"/>
        </w:rPr>
        <w:t xml:space="preserve">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采购约定的技术要求和规范。如质量出现问题，</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人负责“三包”，费用由</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负责。</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（五）</w:t>
      </w:r>
      <w:r>
        <w:rPr>
          <w:rFonts w:hint="eastAsia" w:ascii="宋体" w:hAnsi="宋体" w:eastAsia="宋体"/>
          <w:color w:val="auto"/>
          <w:sz w:val="21"/>
          <w:szCs w:val="21"/>
          <w:highlight w:val="none"/>
        </w:rPr>
        <w:t xml:space="preserve">伴随服务（包括售后服务）：</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应以优良的服务态度，便利、快捷的方式在</w:t>
      </w:r>
      <w:r>
        <w:rPr>
          <w:rFonts w:hint="eastAsia" w:ascii="宋体" w:hAnsi="宋体" w:eastAsia="宋体"/>
          <w:color w:val="auto"/>
          <w:sz w:val="21"/>
          <w:szCs w:val="21"/>
          <w:highlight w:val="none"/>
          <w:lang w:val="en-US" w:eastAsia="zh-CN"/>
        </w:rPr>
        <w:t xml:space="preserve">规定时间</w:t>
      </w:r>
      <w:r>
        <w:rPr>
          <w:rFonts w:hint="eastAsia" w:ascii="宋体" w:hAnsi="宋体" w:eastAsia="宋体"/>
          <w:color w:val="auto"/>
          <w:sz w:val="21"/>
          <w:szCs w:val="21"/>
          <w:highlight w:val="none"/>
        </w:rPr>
        <w:t xml:space="preserve">内响应</w:t>
      </w:r>
      <w:r>
        <w:rPr>
          <w:rFonts w:hint="eastAsia" w:ascii="宋体" w:hAnsi="宋体" w:eastAsia="宋体"/>
          <w:color w:val="auto"/>
          <w:sz w:val="21"/>
          <w:szCs w:val="21"/>
          <w:highlight w:val="none"/>
          <w:lang w:val="en-US" w:eastAsia="zh-CN"/>
        </w:rPr>
        <w:t xml:space="preserve">及</w:t>
      </w:r>
      <w:r>
        <w:rPr>
          <w:rFonts w:hint="eastAsia" w:ascii="宋体" w:hAnsi="宋体" w:eastAsia="宋体"/>
          <w:color w:val="auto"/>
          <w:sz w:val="21"/>
          <w:szCs w:val="21"/>
          <w:highlight w:val="none"/>
        </w:rPr>
        <w:t xml:space="preserve">解决采购人提出的服务要求，整体质保期不低于</w:t>
      </w:r>
      <w:r>
        <w:rPr>
          <w:rFonts w:hint="eastAsia" w:ascii="宋体" w:hAnsi="宋体" w:eastAsia="宋体"/>
          <w:color w:val="auto"/>
          <w:sz w:val="21"/>
          <w:szCs w:val="21"/>
          <w:highlight w:val="none"/>
          <w:lang w:val="en-US" w:eastAsia="zh-CN"/>
        </w:rPr>
        <w:t xml:space="preserve">要求</w:t>
      </w:r>
      <w:r>
        <w:rPr>
          <w:rFonts w:hint="eastAsia" w:ascii="宋体" w:hAnsi="宋体" w:eastAsia="宋体"/>
          <w:color w:val="auto"/>
          <w:sz w:val="21"/>
          <w:szCs w:val="21"/>
          <w:highlight w:val="none"/>
        </w:rPr>
        <w:t xml:space="preserve">。伴随服务的费用均已含在合同价款内。</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六</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质保期内，如产品问题造成短期停用时，则质保期相应顺延，如停用时间累计超过3日，则质保期重新计算。</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七</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lang w:val="en-US" w:eastAsia="zh-CN"/>
        </w:rPr>
        <w:t xml:space="preserve">应</w:t>
      </w:r>
      <w:r>
        <w:rPr>
          <w:rFonts w:hint="eastAsia" w:ascii="宋体" w:hAnsi="宋体" w:eastAsia="宋体"/>
          <w:color w:val="auto"/>
          <w:sz w:val="21"/>
          <w:szCs w:val="21"/>
          <w:highlight w:val="none"/>
        </w:rPr>
        <w:t xml:space="preserve">设有售后服务电话热线，保证在接到</w:t>
      </w:r>
      <w:r>
        <w:rPr>
          <w:rFonts w:hint="eastAsia" w:ascii="宋体" w:hAnsi="宋体" w:eastAsia="宋体"/>
          <w:color w:val="auto"/>
          <w:sz w:val="21"/>
          <w:szCs w:val="21"/>
          <w:highlight w:val="none"/>
          <w:lang w:eastAsia="zh-CN"/>
        </w:rPr>
        <w:t xml:space="preserve">质量投诉</w:t>
      </w:r>
      <w:r>
        <w:rPr>
          <w:rFonts w:hint="eastAsia" w:ascii="宋体" w:hAnsi="宋体" w:eastAsia="宋体"/>
          <w:color w:val="auto"/>
          <w:sz w:val="21"/>
          <w:szCs w:val="21"/>
          <w:highlight w:val="none"/>
        </w:rPr>
        <w:t xml:space="preserve">后及时响应采购人。在收到服务要求时2小时内有专人答复，48小时内有专人到达现场解决。  </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八</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在质保期内有任何质量问题，</w:t>
      </w:r>
      <w:r>
        <w:rPr>
          <w:rFonts w:hint="eastAsia" w:ascii="宋体" w:hAnsi="宋体" w:eastAsia="宋体"/>
          <w:color w:val="auto"/>
          <w:sz w:val="21"/>
          <w:szCs w:val="21"/>
          <w:highlight w:val="none"/>
          <w:lang w:val="en-US" w:eastAsia="zh-CN"/>
        </w:rPr>
        <w:t xml:space="preserve">中标供应商</w:t>
      </w:r>
      <w:r>
        <w:rPr>
          <w:rFonts w:hint="eastAsia" w:ascii="宋体" w:hAnsi="宋体" w:eastAsia="宋体"/>
          <w:color w:val="auto"/>
          <w:sz w:val="21"/>
          <w:szCs w:val="21"/>
          <w:highlight w:val="none"/>
        </w:rPr>
        <w:t xml:space="preserve">在接报后须无条件予以退换。</w:t>
      </w:r>
      <w:r/>
    </w:p>
    <w:p>
      <w:pPr>
        <w:ind w:firstLine="42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（九）</w:t>
      </w:r>
      <w:r>
        <w:rPr>
          <w:rFonts w:hint="eastAsia" w:ascii="宋体" w:hAnsi="宋体" w:eastAsia="宋体"/>
          <w:color w:val="auto"/>
          <w:sz w:val="21"/>
          <w:szCs w:val="21"/>
          <w:highlight w:val="none"/>
          <w:lang w:val="en-US"/>
        </w:rPr>
        <w:t xml:space="preserve">供应商须有充足的备品备件，以备采购人不时之需；</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eastAsia" w:ascii="宋体" w:hAnsi="宋体" w:eastAsia="宋体"/>
          <w:b w:val="0"/>
          <w:bCs w:val="0"/>
          <w:color w:val="auto"/>
          <w:sz w:val="21"/>
          <w:szCs w:val="21"/>
          <w:highlight w:val="none"/>
          <w:lang w:val="en-US" w:eastAsia="zh-CN"/>
        </w:rPr>
        <w:t xml:space="preserve">（十）中标供应商应设置一名协议联络员，便于采购人随时联系，并根据采购人的需要向采购人报送统计表和有关资料；供货商应保存好所有的单据和资料，随时接受采购人的检查。供货商完成供货及相关服务后，由采购人组织验收，并填报质量验收报告。若供货商更换联络员要及时通知采购人，中标供应商应安排值班人员以满足采购人的订货需求。 </w:t>
      </w:r>
      <w:r/>
    </w:p>
    <w:p>
      <w:pPr>
        <w:ind w:firstLine="422"/>
        <w:jc w:val="left"/>
        <w:keepLines w:val="0"/>
        <w:keepNext w:val="0"/>
        <w:pageBreakBefore w:val="0"/>
        <w:spacing w:line="360" w:lineRule="auto"/>
        <w:widowControl w:val="off"/>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六</w:t>
      </w:r>
      <w:r>
        <w:rPr>
          <w:rFonts w:hint="eastAsia" w:ascii="宋体" w:hAnsi="宋体" w:eastAsia="宋体"/>
          <w:b/>
          <w:bCs/>
          <w:color w:val="auto"/>
          <w:sz w:val="21"/>
          <w:szCs w:val="21"/>
          <w:highlight w:val="none"/>
          <w:lang w:val="en-US"/>
        </w:rPr>
        <w:t xml:space="preserve">、</w:t>
      </w:r>
      <w:r>
        <w:rPr>
          <w:rFonts w:hint="eastAsia" w:ascii="宋体" w:hAnsi="宋体" w:eastAsia="宋体"/>
          <w:b/>
          <w:bCs/>
          <w:color w:val="auto"/>
          <w:sz w:val="21"/>
          <w:szCs w:val="21"/>
          <w:highlight w:val="none"/>
          <w:lang w:val="en-US" w:eastAsia="zh-CN"/>
        </w:rPr>
        <w:t xml:space="preserve">委托分配原则</w:t>
      </w:r>
      <w:r/>
    </w:p>
    <w:p>
      <w:pPr>
        <w:ind w:firstLine="422"/>
        <w:jc w:val="left"/>
        <w:keepLines w:val="0"/>
        <w:keepNext w:val="0"/>
        <w:pageBreakBefore w:val="0"/>
        <w:spacing w:line="360" w:lineRule="auto"/>
        <w:widowControl w:val="off"/>
        <w:rPr>
          <w:rFonts w:hint="eastAsia" w:ascii="宋体" w:hAnsi="宋体" w:eastAsia="宋体"/>
          <w:b w:val="0"/>
          <w:bCs w:val="0"/>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（一）分配形式：</w:t>
      </w:r>
      <w:r>
        <w:rPr>
          <w:rFonts w:hint="eastAsia" w:ascii="宋体" w:hAnsi="宋体" w:eastAsia="宋体"/>
          <w:b w:val="0"/>
          <w:bCs w:val="0"/>
          <w:color w:val="auto"/>
          <w:sz w:val="21"/>
          <w:szCs w:val="21"/>
          <w:highlight w:val="none"/>
          <w:u w:val="single"/>
          <w:lang w:val="en-US" w:eastAsia="zh-CN"/>
        </w:rPr>
        <w:t xml:space="preserve">每次单项任务委托采购的耗材若包含招标清单以外品种的，由采购人根据单位内部考核管理要求，综合考虑中标单位针对当次单项委托任务的二次询价。</w:t>
      </w:r>
      <w:r/>
    </w:p>
    <w:p>
      <w:pPr>
        <w:ind w:firstLine="422"/>
        <w:jc w:val="left"/>
        <w:keepLines w:val="0"/>
        <w:keepNext w:val="0"/>
        <w:pageBreakBefore w:val="0"/>
        <w:spacing w:line="360" w:lineRule="auto"/>
        <w:widowControl w:val="off"/>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七</w:t>
      </w:r>
      <w:r>
        <w:rPr>
          <w:rFonts w:hint="default" w:ascii="宋体" w:hAnsi="宋体" w:eastAsia="宋体"/>
          <w:b/>
          <w:bCs/>
          <w:color w:val="auto"/>
          <w:sz w:val="21"/>
          <w:szCs w:val="21"/>
          <w:highlight w:val="none"/>
          <w:lang w:val="en-US" w:eastAsia="zh-CN"/>
        </w:rPr>
        <w:t xml:space="preserve">、考核管理要求</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（一）实行考核淘汰机制和动态管理</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根据供应商的季度工作表现和各使用方的反馈情况，对供应商进行动态考核，考核结果将影响下一季度的任务分配情况。</w:t>
      </w:r>
      <w:r/>
    </w:p>
    <w:p>
      <w:pPr>
        <w:ind w:firstLine="63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1、工作时限控制</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（1）采购人发出工作任务后，供应商逾期不响应的，每逾期1个工作日，采购人有权扣减该批次服务费用的5%，逾期3个工作日及以上的，采购人有权取消该批次项目供货。</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（2）供应商每逾期1个工作日完成任务，采购人有权扣减该批次项目服务费用的3%（最高扣减30%）。</w:t>
      </w:r>
      <w:r/>
    </w:p>
    <w:p>
      <w:pPr>
        <w:ind w:firstLine="63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2、工作质量控制</w:t>
      </w:r>
      <w:r/>
    </w:p>
    <w:p>
      <w:pPr>
        <w:ind w:firstLine="63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供应商应按采购人的技术交底要求完成有关工作，如因供应商未能履行该项工作，造成采购人无法正常开展日常工作的，采购人有权扣减该项目全部费用。</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（二）服务期间，发现供应商有违法违规、违背职业道德和不履行合同等行为，一经查实，有权扣减该批次项目服务费的50%、解除余下项目的业务委托、取消供应商服务资格，并依法追究相关人员的法律责任。</w:t>
      </w:r>
      <w:r/>
    </w:p>
    <w:p>
      <w:pPr>
        <w:ind w:firstLine="422"/>
        <w:jc w:val="left"/>
        <w:keepLines w:val="0"/>
        <w:keepNext w:val="0"/>
        <w:pageBreakBefore w:val="0"/>
        <w:spacing w:line="360" w:lineRule="auto"/>
        <w:widowControl w:val="off"/>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eastAsia="zh-CN"/>
        </w:rPr>
        <w:t xml:space="preserve">八、</w:t>
      </w:r>
      <w:r>
        <w:rPr>
          <w:rFonts w:hint="eastAsia" w:ascii="宋体" w:hAnsi="宋体" w:eastAsia="宋体"/>
          <w:b/>
          <w:bCs/>
          <w:color w:val="auto"/>
          <w:sz w:val="21"/>
          <w:szCs w:val="21"/>
          <w:highlight w:val="none"/>
          <w:lang w:val="en-US"/>
        </w:rPr>
        <w:t xml:space="preserve">商务要求</w:t>
      </w:r>
      <w:r>
        <w:rPr>
          <w:rFonts w:hint="eastAsia" w:ascii="宋体" w:hAnsi="宋体" w:eastAsia="宋体" w:cs="宋体"/>
          <w:b/>
          <w:color w:val="auto"/>
          <w:sz w:val="21"/>
          <w:szCs w:val="21"/>
          <w:highlight w:val="none"/>
          <w:lang w:eastAsia="zh-CN"/>
        </w:rPr>
        <w:t xml:space="preserve">（投标文件中提供供应商的承诺</w:t>
      </w:r>
      <w:r>
        <w:rPr>
          <w:rFonts w:hint="eastAsia" w:ascii="宋体" w:hAnsi="宋体" w:eastAsia="宋体" w:cs="宋体"/>
          <w:b/>
          <w:color w:val="auto"/>
          <w:sz w:val="21"/>
          <w:szCs w:val="21"/>
          <w:highlight w:val="none"/>
          <w:lang w:val="en-US" w:eastAsia="zh-CN"/>
        </w:rPr>
        <w:t xml:space="preserve">或相关证明材料</w:t>
      </w:r>
      <w:r>
        <w:rPr>
          <w:rFonts w:hint="eastAsia" w:ascii="宋体" w:hAnsi="宋体" w:eastAsia="宋体" w:cs="宋体"/>
          <w:b/>
          <w:color w:val="auto"/>
          <w:sz w:val="21"/>
          <w:szCs w:val="21"/>
          <w:highlight w:val="none"/>
          <w:lang w:eastAsia="zh-CN"/>
        </w:rPr>
        <w:t xml:space="preserve">）</w:t>
      </w:r>
      <w:r/>
    </w:p>
    <w:p>
      <w:pPr>
        <w:ind w:right="57"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w:t>
      </w:r>
      <w:r>
        <w:rPr>
          <w:rFonts w:hint="eastAsia" w:ascii="宋体" w:hAnsi="宋体" w:eastAsia="宋体"/>
          <w:b/>
          <w:color w:val="auto"/>
          <w:sz w:val="21"/>
          <w:szCs w:val="21"/>
          <w:highlight w:val="none"/>
          <w:lang w:val="en-US" w:eastAsia="zh-CN"/>
        </w:rPr>
        <w:t xml:space="preserve">一</w:t>
      </w:r>
      <w:r>
        <w:rPr>
          <w:rFonts w:hint="eastAsia" w:ascii="宋体" w:hAnsi="宋体" w:eastAsia="宋体"/>
          <w:b/>
          <w:color w:val="auto"/>
          <w:sz w:val="21"/>
          <w:szCs w:val="21"/>
          <w:highlight w:val="none"/>
        </w:rPr>
        <w:t xml:space="preserve">）交货要求</w:t>
      </w:r>
      <w:r/>
    </w:p>
    <w:p>
      <w:pPr>
        <w:ind w:firstLine="63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交货期：</w:t>
      </w:r>
      <w:r>
        <w:rPr>
          <w:rFonts w:hint="eastAsia" w:ascii="宋体" w:hAnsi="宋体" w:eastAsia="宋体"/>
          <w:color w:val="auto"/>
          <w:sz w:val="21"/>
          <w:szCs w:val="21"/>
          <w:highlight w:val="none"/>
          <w:lang w:eastAsia="zh-CN"/>
        </w:rPr>
        <w:t xml:space="preserve">实行分期交货。</w:t>
      </w:r>
      <w:r>
        <w:rPr>
          <w:rFonts w:hint="eastAsia" w:ascii="宋体" w:hAnsi="宋体" w:eastAsia="宋体" w:cs="宋体"/>
          <w:color w:val="auto"/>
          <w:sz w:val="21"/>
          <w:szCs w:val="21"/>
          <w:highlight w:val="none"/>
          <w:lang w:val="en-US" w:eastAsia="zh-CN"/>
        </w:rPr>
        <w:t xml:space="preserve">每次于收到采购人通知5个日历日</w:t>
      </w:r>
      <w:r>
        <w:rPr>
          <w:rFonts w:hint="eastAsia" w:ascii="宋体" w:hAnsi="宋体" w:eastAsia="宋体" w:cs="宋体"/>
          <w:color w:val="auto"/>
          <w:sz w:val="21"/>
          <w:szCs w:val="21"/>
          <w:highlight w:val="none"/>
        </w:rPr>
        <w:t xml:space="preserve">内按照要求交货并通过验收</w:t>
      </w:r>
      <w:r>
        <w:rPr>
          <w:rFonts w:hint="eastAsia" w:ascii="宋体" w:hAnsi="宋体" w:eastAsia="宋体" w:cs="宋体"/>
          <w:color w:val="auto"/>
          <w:sz w:val="21"/>
          <w:szCs w:val="21"/>
          <w:highlight w:val="none"/>
          <w:lang w:val="en-US" w:eastAsia="zh-CN"/>
        </w:rPr>
        <w:t xml:space="preserve">。具体以采购人实际要求为准</w:t>
      </w:r>
      <w:r>
        <w:rPr>
          <w:rFonts w:hint="eastAsia" w:ascii="宋体" w:hAnsi="宋体" w:eastAsia="宋体"/>
          <w:color w:val="auto"/>
          <w:sz w:val="21"/>
          <w:szCs w:val="21"/>
          <w:highlight w:val="none"/>
        </w:rPr>
        <w:t xml:space="preserve">。</w:t>
      </w:r>
      <w:r/>
    </w:p>
    <w:p>
      <w:pPr>
        <w:ind w:firstLine="63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交货地点：采购人指定地点。</w:t>
      </w:r>
      <w:r/>
    </w:p>
    <w:p>
      <w:pPr>
        <w:ind w:firstLine="63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3、配送要求：产品由中标人直接配送，不得委托其他经销商进行配送。</w:t>
      </w:r>
      <w:r/>
    </w:p>
    <w:p>
      <w:pPr>
        <w:ind w:firstLine="42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lang w:val="en-US"/>
        </w:rPr>
        <w:t xml:space="preserve">货物的包装适应</w:t>
      </w:r>
      <w:r>
        <w:rPr>
          <w:rFonts w:hint="eastAsia" w:ascii="宋体" w:hAnsi="宋体" w:eastAsia="宋体"/>
          <w:color w:val="auto"/>
          <w:sz w:val="21"/>
          <w:szCs w:val="21"/>
          <w:highlight w:val="none"/>
          <w:lang w:val="en-US" w:eastAsia="zh-CN"/>
        </w:rPr>
        <w:t xml:space="preserve">当地</w:t>
      </w:r>
      <w:r>
        <w:rPr>
          <w:rFonts w:hint="eastAsia" w:ascii="宋体" w:hAnsi="宋体" w:eastAsia="宋体"/>
          <w:color w:val="auto"/>
          <w:sz w:val="21"/>
          <w:szCs w:val="21"/>
          <w:highlight w:val="none"/>
          <w:lang w:val="en-US"/>
        </w:rPr>
        <w:t xml:space="preserve">气候，均应有良好的防湿、防锈、防潮、防雨、防腐及防碰撞的措施。凡由于包装不良造成的损失和由此产生的费用均由中标人承担。如果合同货物运输过程中因事故造成货物短缺、损坏，中标人应及时安排换货，以保证合同货物验收的成功完成。换货的相关费用由中标人承担。</w:t>
      </w:r>
      <w:r/>
    </w:p>
    <w:p>
      <w:pPr>
        <w:ind w:firstLine="42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lang w:val="en-US"/>
        </w:rPr>
        <w:t xml:space="preserve">货物对温度条件有要求的，</w:t>
      </w:r>
      <w:r>
        <w:rPr>
          <w:rFonts w:hint="eastAsia" w:ascii="宋体" w:hAnsi="宋体" w:eastAsia="宋体"/>
          <w:color w:val="auto"/>
          <w:sz w:val="21"/>
          <w:szCs w:val="21"/>
          <w:highlight w:val="none"/>
          <w:lang w:val="en-US" w:eastAsia="zh-CN"/>
        </w:rPr>
        <w:t xml:space="preserve">应</w:t>
      </w:r>
      <w:r>
        <w:rPr>
          <w:rFonts w:hint="eastAsia" w:ascii="宋体" w:hAnsi="宋体" w:eastAsia="宋体"/>
          <w:color w:val="auto"/>
          <w:sz w:val="21"/>
          <w:szCs w:val="21"/>
          <w:highlight w:val="none"/>
          <w:lang w:val="en-US"/>
        </w:rPr>
        <w:t xml:space="preserve">确保运输全过程中冷链条件，需在出库后4小时内到达用户方，否则造成的货物质量问题，中标人</w:t>
      </w:r>
      <w:r>
        <w:rPr>
          <w:rFonts w:hint="eastAsia" w:ascii="宋体" w:hAnsi="宋体" w:eastAsia="宋体"/>
          <w:color w:val="auto"/>
          <w:sz w:val="21"/>
          <w:szCs w:val="21"/>
          <w:highlight w:val="none"/>
          <w:lang w:val="en-US" w:eastAsia="zh-CN"/>
        </w:rPr>
        <w:t xml:space="preserve">应</w:t>
      </w:r>
      <w:r>
        <w:rPr>
          <w:rFonts w:hint="eastAsia" w:ascii="宋体" w:hAnsi="宋体" w:eastAsia="宋体"/>
          <w:color w:val="auto"/>
          <w:sz w:val="21"/>
          <w:szCs w:val="21"/>
          <w:highlight w:val="none"/>
          <w:lang w:val="en-US"/>
        </w:rPr>
        <w:t xml:space="preserve">在接到通知后在3日内无条件进行更换。</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中标人应严格按采购合同向采购人供应货物，不得擅自供应标外货物（含品牌、型号、规格等），否则，采购人有权拒收。如中标人确因市场生产、流通或采购人使用需求等问题需将原标内货物变更为不同品牌的同类货物时，中标人应以性价比更高作为主要原则，及时向采购人提供书面申请及货物样板，并与采购人就货物价格签订补充协议后方可向采购人执行销售配送。 </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（4）所有货物在开箱检验时必须完好，无破损，数量及配置与装箱单相符。  </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（5）中标人须保证产品符合相关验收标准，并通过验收后，再配送采购人。 </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（6）标记编号以及盘面显示等字体清晰、明确。数量、质量及性能不低于采购需求中提出的要求。 </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（7）属进口产品的须提供原产地证明和中国商检证明及合法进货渠道全套单证，并能对货物进行溯源；中国境内制造的产品须提供出厂合格证。</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8）中标供应商应将所提供货物的装箱清单、用户手册或中文说明书、原厂保修卡、随机资料及配件、随机工具等相关资料交付给采购人；中标供应商不能完整交付货物及本款规定的单证和工具的，视为未按合同约定供货，中标供应商必须负责补齐，因此导致逾期交付的，由中标供应商承担相关的违约责任。</w:t>
      </w:r>
      <w:r/>
    </w:p>
    <w:p>
      <w:pPr>
        <w:ind w:firstLine="63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验收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）产品配置</w:t>
      </w:r>
      <w:r>
        <w:rPr>
          <w:rFonts w:hint="eastAsia" w:ascii="宋体" w:hAnsi="宋体" w:eastAsia="宋体"/>
          <w:color w:val="auto"/>
          <w:sz w:val="21"/>
          <w:szCs w:val="21"/>
          <w:highlight w:val="none"/>
          <w:lang w:val="en-US" w:eastAsia="zh-CN"/>
        </w:rPr>
        <w:t xml:space="preserve">应</w:t>
      </w:r>
      <w:r>
        <w:rPr>
          <w:rFonts w:hint="eastAsia" w:ascii="宋体" w:hAnsi="宋体" w:eastAsia="宋体"/>
          <w:color w:val="auto"/>
          <w:sz w:val="21"/>
          <w:szCs w:val="21"/>
          <w:highlight w:val="none"/>
        </w:rPr>
        <w:t xml:space="preserve">原厂出厂时全部自带，所有</w:t>
      </w:r>
      <w:r>
        <w:rPr>
          <w:rFonts w:hint="eastAsia" w:ascii="宋体" w:hAnsi="宋体" w:eastAsia="宋体"/>
          <w:color w:val="auto"/>
          <w:sz w:val="21"/>
          <w:szCs w:val="21"/>
          <w:highlight w:val="none"/>
          <w:lang w:val="en-US"/>
        </w:rPr>
        <w:t xml:space="preserve">耗材</w:t>
      </w:r>
      <w:r>
        <w:rPr>
          <w:rFonts w:hint="eastAsia" w:ascii="宋体" w:hAnsi="宋体" w:eastAsia="宋体"/>
          <w:color w:val="auto"/>
          <w:sz w:val="21"/>
          <w:szCs w:val="21"/>
          <w:highlight w:val="none"/>
        </w:rPr>
        <w:t xml:space="preserve">外包装箱不得自行拆封，包装箱上所有标签等不得涂改或撕毁，否则采购人有权拒绝验收；所有货物交货完毕，采购人或采购人指定部门对</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提供的产品进行抽样检测，检测不符合采购要求的，采购人有权终止合同。相关损失由</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自行承担。投标报价时应充分考虑该费用，采购人不再另行支付。</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）如货物不能达到合同约定的质量标准和厂家的质量标准，采购人有权退货，并依法追究中标人的违约责任，</w:t>
      </w:r>
      <w:r>
        <w:rPr>
          <w:rFonts w:hint="eastAsia" w:ascii="宋体" w:hAnsi="宋体" w:eastAsia="宋体"/>
          <w:color w:val="auto"/>
          <w:sz w:val="21"/>
          <w:szCs w:val="21"/>
          <w:highlight w:val="none"/>
          <w:lang w:val="en-US" w:eastAsia="zh-CN"/>
        </w:rPr>
        <w:t xml:space="preserve">中标</w:t>
      </w:r>
      <w:r>
        <w:rPr>
          <w:rFonts w:hint="eastAsia" w:ascii="宋体" w:hAnsi="宋体" w:eastAsia="宋体"/>
          <w:color w:val="auto"/>
          <w:sz w:val="21"/>
          <w:szCs w:val="21"/>
          <w:highlight w:val="none"/>
        </w:rPr>
        <w:t xml:space="preserve">供应商须无条件接受。</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）验收标准：按投标文件的标准。验收包括：数量、外观、质量、性能等。所有产品应符合规定的性能，无瑕疵和缺陷，必须为合格品。同时有明确的制造商、生产日期、合格证等。</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）验收期限：自货物交付完成之日起</w:t>
      </w:r>
      <w:r>
        <w:rPr>
          <w:rFonts w:hint="eastAsia" w:ascii="宋体" w:hAnsi="宋体" w:eastAsia="宋体"/>
          <w:color w:val="auto"/>
          <w:sz w:val="21"/>
          <w:szCs w:val="21"/>
          <w:highlight w:val="none"/>
          <w:lang w:val="en-US"/>
        </w:rPr>
        <w:t xml:space="preserve">五</w:t>
      </w:r>
      <w:r>
        <w:rPr>
          <w:rFonts w:hint="eastAsia" w:ascii="宋体" w:hAnsi="宋体" w:eastAsia="宋体"/>
          <w:color w:val="auto"/>
          <w:sz w:val="21"/>
          <w:szCs w:val="21"/>
          <w:highlight w:val="none"/>
        </w:rPr>
        <w:t xml:space="preserve">日内</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具体按采购人要求执行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）知识产权：</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应保证采购人免除且</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承担由于采购人在其本国使用时而引起第三方提出的侵犯专利权、商标权或工业设计权的起诉、行动、行政程序索赔、请求等以及采购人为此而产生的损失和损害、费用和支出（包括律师费）。</w:t>
      </w:r>
      <w:r/>
    </w:p>
    <w:p>
      <w:pPr>
        <w:ind w:firstLine="2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lang w:val="en-US"/>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val="en-US"/>
        </w:rPr>
        <w:t xml:space="preserve">）</w:t>
      </w:r>
      <w:r>
        <w:rPr>
          <w:rFonts w:hint="eastAsia" w:ascii="宋体" w:hAnsi="宋体" w:eastAsia="宋体" w:cs="宋体"/>
          <w:b/>
          <w:color w:val="auto"/>
          <w:sz w:val="21"/>
          <w:szCs w:val="21"/>
          <w:highlight w:val="none"/>
        </w:rPr>
        <w:t xml:space="preserve">付款方式</w:t>
      </w:r>
      <w:r/>
    </w:p>
    <w:p>
      <w:pPr>
        <w:ind w:firstLine="63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以验收合格使用后付费形式支付，按照实际</w:t>
      </w:r>
      <w:r>
        <w:rPr>
          <w:rFonts w:hint="eastAsia" w:ascii="宋体" w:hAnsi="宋体" w:eastAsia="宋体" w:cs="宋体"/>
          <w:b w:val="0"/>
          <w:bCs/>
          <w:color w:val="auto"/>
          <w:sz w:val="21"/>
          <w:szCs w:val="21"/>
          <w:highlight w:val="none"/>
          <w:lang w:val="en-US"/>
        </w:rPr>
        <w:t xml:space="preserve">供货及</w:t>
      </w:r>
      <w:r>
        <w:rPr>
          <w:rFonts w:hint="eastAsia" w:ascii="宋体" w:hAnsi="宋体" w:eastAsia="宋体" w:cs="宋体"/>
          <w:b w:val="0"/>
          <w:bCs/>
          <w:color w:val="auto"/>
          <w:sz w:val="21"/>
          <w:szCs w:val="21"/>
          <w:highlight w:val="none"/>
        </w:rPr>
        <w:t xml:space="preserve">使用情况每月结算付款。</w:t>
      </w:r>
      <w:r/>
    </w:p>
    <w:p>
      <w:pPr>
        <w:numPr>
          <w:ilvl w:val="0"/>
          <w:numId w:val="0"/>
        </w:numPr>
        <w:ind w:firstLine="422"/>
        <w:spacing w:line="360" w:lineRule="auto"/>
        <w:rPr>
          <w:color w:val="auto"/>
          <w:highlight w:val="none"/>
        </w:rPr>
      </w:pPr>
      <w:r>
        <w:rPr>
          <w:rFonts w:hint="eastAsia" w:ascii="宋体" w:hAnsi="宋体" w:eastAsia="宋体" w:cs="宋体"/>
          <w:b/>
          <w:color w:val="auto"/>
          <w:sz w:val="21"/>
          <w:szCs w:val="21"/>
          <w:highlight w:val="none"/>
          <w:lang w:val="en-US" w:eastAsia="zh-CN"/>
        </w:rPr>
        <w:t xml:space="preserve">九、报价要求：</w:t>
      </w:r>
      <w:r/>
    </w:p>
    <w:p>
      <w:pPr>
        <w:numPr>
          <w:ilvl w:val="0"/>
          <w:numId w:val="0"/>
        </w:numPr>
        <w:ind w:firstLine="420"/>
        <w:spacing w:line="360" w:lineRule="auto"/>
        <w:rPr>
          <w:rFonts w:hint="eastAsia" w:ascii="宋体" w:hAnsi="宋体" w:eastAsia="宋体" w:cs="宋体"/>
          <w:b w:val="0"/>
          <w:bCs/>
          <w:color w:val="auto"/>
          <w:sz w:val="21"/>
          <w:szCs w:val="21"/>
          <w:highlight w:val="none"/>
          <w:u w:val="single"/>
          <w:lang w:val="en-US" w:eastAsia="zh-CN"/>
        </w:rPr>
      </w:pPr>
      <w:r>
        <w:rPr>
          <w:rFonts w:hint="eastAsia" w:ascii="宋体" w:hAnsi="宋体" w:eastAsia="宋体" w:cs="宋体"/>
          <w:b w:val="0"/>
          <w:bCs/>
          <w:color w:val="auto"/>
          <w:sz w:val="21"/>
          <w:szCs w:val="21"/>
          <w:highlight w:val="none"/>
          <w:u w:val="single"/>
          <w:lang w:val="en-US" w:eastAsia="zh-CN"/>
        </w:rPr>
        <w:t xml:space="preserve">（一）报价须按照采购文件要求进行报价，采购文件所提供的耗材清单仅作为本次报价使用，各供应商在报价时需注意：</w:t>
      </w:r>
      <w:r/>
    </w:p>
    <w:p>
      <w:pPr>
        <w:ind w:firstLine="630"/>
        <w:spacing w:line="360" w:lineRule="auto"/>
        <w:rPr>
          <w:rFonts w:hint="eastAsia" w:ascii="宋体" w:hAnsi="宋体" w:eastAsia="宋体" w:cs="宋体"/>
          <w:b w:val="0"/>
          <w:bCs/>
          <w:color w:val="auto"/>
          <w:sz w:val="21"/>
          <w:szCs w:val="21"/>
          <w:highlight w:val="none"/>
          <w:u w:val="single"/>
          <w:lang w:val="en-US" w:eastAsia="zh-CN"/>
        </w:rPr>
      </w:pPr>
      <w:r>
        <w:rPr>
          <w:rFonts w:hint="eastAsia" w:ascii="宋体" w:hAnsi="宋体" w:eastAsia="宋体" w:cs="宋体"/>
          <w:b w:val="0"/>
          <w:bCs/>
          <w:color w:val="auto"/>
          <w:sz w:val="21"/>
          <w:szCs w:val="21"/>
          <w:highlight w:val="none"/>
          <w:u w:val="single"/>
          <w:lang w:val="en-US" w:eastAsia="zh-CN"/>
        </w:rPr>
        <w:t xml:space="preserve">1、采购清单中现用品牌是采购人目前正在使用的产品品牌，仅供供应商参考产品质量标准。</w:t>
      </w:r>
      <w:r/>
    </w:p>
    <w:p>
      <w:pPr>
        <w:ind w:firstLine="630"/>
        <w:spacing w:line="360" w:lineRule="auto"/>
        <w:rPr>
          <w:rFonts w:hint="eastAsia" w:ascii="宋体" w:hAnsi="宋体" w:eastAsia="宋体" w:cs="宋体"/>
          <w:b w:val="0"/>
          <w:bCs/>
          <w:color w:val="auto"/>
          <w:sz w:val="21"/>
          <w:szCs w:val="21"/>
          <w:highlight w:val="none"/>
          <w:u w:val="single"/>
          <w:lang w:val="en-US" w:eastAsia="zh-CN"/>
        </w:rPr>
      </w:pPr>
      <w:r>
        <w:rPr>
          <w:rFonts w:hint="eastAsia" w:ascii="宋体" w:hAnsi="宋体" w:eastAsia="宋体" w:cs="宋体"/>
          <w:b w:val="0"/>
          <w:bCs/>
          <w:color w:val="auto"/>
          <w:sz w:val="21"/>
          <w:szCs w:val="21"/>
          <w:highlight w:val="none"/>
          <w:u w:val="single"/>
          <w:lang w:val="en-US" w:eastAsia="zh-CN"/>
        </w:rPr>
        <w:t xml:space="preserve">2、供应商在进行项目报价时，应充分考虑品牌市场行情波动及政策风险等客观因素，对需求清单中产品进行报价，各供应商不得不遵循市场行情恶意报价从而影响耗材供应质量。</w:t>
      </w:r>
      <w:r/>
    </w:p>
    <w:p>
      <w:pPr>
        <w:ind w:firstLine="630"/>
        <w:spacing w:line="360" w:lineRule="auto"/>
        <w:rPr>
          <w:rFonts w:hint="default" w:ascii="宋体" w:hAnsi="宋体" w:eastAsia="宋体" w:cs="宋体"/>
          <w:b w:val="0"/>
          <w:bCs/>
          <w:color w:val="auto"/>
          <w:sz w:val="21"/>
          <w:szCs w:val="21"/>
          <w:highlight w:val="none"/>
          <w:u w:val="single"/>
          <w:lang w:val="en-US" w:eastAsia="zh-CN"/>
        </w:rPr>
      </w:pPr>
      <w:r>
        <w:rPr>
          <w:rFonts w:hint="eastAsia" w:ascii="宋体" w:hAnsi="宋体" w:eastAsia="宋体" w:cs="宋体"/>
          <w:b w:val="0"/>
          <w:bCs/>
          <w:color w:val="auto"/>
          <w:sz w:val="21"/>
          <w:szCs w:val="21"/>
          <w:highlight w:val="none"/>
          <w:u w:val="single"/>
          <w:lang w:val="en-US" w:eastAsia="zh-CN"/>
        </w:rPr>
        <w:t xml:space="preserve">3、供货时采购人有权根据实际情况对清单所列试剂耗材的品种、数量等作出适当调整，中标供应商应无条件按照采购人要求进行供货。且由于采购人实际使用物资耗材种类众多，无法全部列出，</w:t>
      </w:r>
      <w:r>
        <w:rPr>
          <w:rFonts w:hint="eastAsia" w:ascii="宋体" w:hAnsi="宋体" w:eastAsia="宋体" w:cs="宋体"/>
          <w:b/>
          <w:bCs w:val="0"/>
          <w:color w:val="auto"/>
          <w:sz w:val="21"/>
          <w:szCs w:val="21"/>
          <w:highlight w:val="none"/>
          <w:u w:val="single"/>
          <w:lang w:val="en-US" w:eastAsia="zh-CN"/>
        </w:rPr>
        <w:t xml:space="preserve">供应商需对本项目清单中产品所涉及主要品牌下的其他产品填报品牌折扣率</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lang w:val="en-US" w:eastAsia="zh-CN"/>
        </w:rPr>
        <w:t xml:space="preserve">参考</w:t>
      </w:r>
      <w:r>
        <w:rPr>
          <w:rFonts w:hint="eastAsia" w:ascii="宋体" w:hAnsi="宋体" w:eastAsia="宋体" w:cs="宋体"/>
          <w:b w:val="0"/>
          <w:bCs/>
          <w:color w:val="auto"/>
          <w:sz w:val="21"/>
          <w:szCs w:val="21"/>
          <w:highlight w:val="none"/>
          <w:u w:val="single"/>
          <w:lang w:eastAsia="zh-CN"/>
        </w:rPr>
        <w:t xml:space="preserve">格式见附件）</w:t>
      </w:r>
      <w:r>
        <w:rPr>
          <w:rFonts w:hint="eastAsia" w:ascii="宋体" w:hAnsi="宋体" w:eastAsia="宋体" w:cs="宋体"/>
          <w:b/>
          <w:bCs w:val="0"/>
          <w:color w:val="auto"/>
          <w:sz w:val="21"/>
          <w:szCs w:val="21"/>
          <w:highlight w:val="none"/>
          <w:u w:val="single"/>
          <w:lang w:val="en-US" w:eastAsia="zh-CN"/>
        </w:rPr>
        <w:t xml:space="preserve">。耗材类折扣率的标准按照供应商所投品牌出厂价或官方指导价进行折扣率填报（投标文件中提供品牌折扣率报价表、供应商所投品牌出厂价或官方指导价）。</w:t>
      </w:r>
      <w:r>
        <w:rPr>
          <w:rFonts w:hint="eastAsia" w:ascii="宋体" w:hAnsi="宋体" w:eastAsia="宋体" w:cs="宋体"/>
          <w:b w:val="0"/>
          <w:bCs/>
          <w:color w:val="auto"/>
          <w:sz w:val="21"/>
          <w:szCs w:val="21"/>
          <w:highlight w:val="none"/>
          <w:u w:val="single"/>
          <w:lang w:eastAsia="zh-CN"/>
        </w:rPr>
        <w:t xml:space="preserve">超出本次招标清单外的物资耗材的价格，不得高于投标文件中所提供的品牌优惠价。</w:t>
      </w:r>
      <w:r/>
    </w:p>
    <w:p>
      <w:pPr>
        <w:ind w:firstLine="420"/>
        <w:spacing w:line="360" w:lineRule="auto"/>
        <w:rPr>
          <w:rFonts w:hint="eastAsia" w:ascii="宋体" w:hAnsi="宋体" w:eastAsia="宋体" w:cs="宋体"/>
          <w:b w:val="0"/>
          <w:bCs/>
          <w:color w:val="auto"/>
          <w:sz w:val="21"/>
          <w:szCs w:val="21"/>
          <w:highlight w:val="none"/>
          <w:u w:val="none"/>
          <w:lang w:val="en-US" w:eastAsia="zh-CN"/>
        </w:rPr>
      </w:pPr>
      <w:r>
        <w:rPr>
          <w:rFonts w:hint="eastAsia" w:ascii="宋体" w:hAnsi="宋体" w:eastAsia="宋体" w:cs="宋体"/>
          <w:b w:val="0"/>
          <w:bCs/>
          <w:color w:val="auto"/>
          <w:sz w:val="21"/>
          <w:szCs w:val="21"/>
          <w:highlight w:val="none"/>
          <w:u w:val="none"/>
          <w:lang w:val="en-US" w:eastAsia="zh-CN"/>
        </w:rPr>
        <w:t xml:space="preserve">4、供应商参与本项目投标，视同接受报价要求。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w:t>
      </w:r>
      <w:r>
        <w:rPr>
          <w:rFonts w:hint="eastAsia" w:ascii="宋体" w:hAnsi="宋体" w:eastAsia="宋体" w:cs="宋体"/>
          <w:bCs/>
          <w:color w:val="auto"/>
          <w:sz w:val="21"/>
          <w:szCs w:val="21"/>
          <w:highlight w:val="none"/>
          <w:lang w:val="en-US"/>
        </w:rPr>
        <w:t xml:space="preserve">采购人不保证中标供应商在服务期间所能获取的工作任务数量情况。供应商应充分考虑投标风险，并尽可能提供优惠的价格和优质的服务，以提高自身的竞争力。</w:t>
      </w:r>
      <w:r>
        <w:rPr>
          <w:rFonts w:hint="eastAsia" w:ascii="宋体" w:hAnsi="宋体" w:eastAsia="宋体" w:cs="宋体"/>
          <w:b w:val="0"/>
          <w:bCs/>
          <w:color w:val="auto"/>
          <w:sz w:val="21"/>
          <w:szCs w:val="21"/>
          <w:highlight w:val="none"/>
          <w:lang w:val="en-US" w:eastAsia="zh-CN"/>
        </w:rPr>
        <w:t xml:space="preserve">投标报价应包含采购文件要求的全部内容，包括采购、配送服务、各项税费、调试及质保期内的维护保养等合同实施过程中不可预见费用等项目相关的一切费用，采购人不再另行支付其他费用；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三）本项目所有产品的投标报价在该项目服务期限内为固定不变单价（折扣），供应商在投标时应充分考虑到该项目在服务期限内产品价格浮动的风险。中标供应商在项目服务期限不得因中标的某一产品价格浮动，停止或推迟供货该产品。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（四）项目在服务期限内，中标的某一规格型号货物被另一规格型号的新产品替代（替代产品不能低于原型号配置且已经采购人确认）时，中标供应商擅自提高供货价格的，采购人单方面有权终止合同。</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center"/>
        <w:spacing w:line="360" w:lineRule="auto"/>
        <w:shd w:val="clear" w:color="auto" w:fill="auto"/>
        <w:widowControl/>
        <w:rPr>
          <w:rFonts w:hint="eastAsia" w:ascii="黑体" w:hAnsi="黑体" w:eastAsia="黑体" w:cs="黑体"/>
          <w:color w:val="000000"/>
          <w:sz w:val="32"/>
          <w:szCs w:val="32"/>
          <w:highlight w:val="none"/>
        </w:rPr>
        <w:outlineLvl w:val="0"/>
      </w:pPr>
      <w:r>
        <w:rPr>
          <w:rFonts w:hint="eastAsia" w:ascii="宋体" w:hAnsi="宋体"/>
          <w:b/>
          <w:bCs/>
          <w:color w:val="000000"/>
          <w:sz w:val="32"/>
          <w:szCs w:val="32"/>
          <w:highlight w:val="none"/>
        </w:rPr>
        <w:br w:type="page" w:clear="all"/>
      </w:r>
      <w:r>
        <w:rPr>
          <w:rFonts w:hint="eastAsia" w:ascii="黑体" w:hAnsi="黑体" w:eastAsia="黑体" w:cs="黑体"/>
          <w:color w:val="000000"/>
          <w:sz w:val="32"/>
          <w:szCs w:val="32"/>
          <w:highlight w:val="none"/>
        </w:rPr>
        <w:t xml:space="preserve">第六章 </w:t>
      </w:r>
      <w:r>
        <w:rPr>
          <w:rFonts w:hint="eastAsia" w:ascii="黑体" w:hAnsi="黑体" w:eastAsia="黑体" w:cs="黑体"/>
          <w:color w:val="000000"/>
          <w:sz w:val="32"/>
          <w:szCs w:val="32"/>
          <w:highlight w:val="none"/>
          <w:lang w:val="en-US"/>
        </w:rPr>
        <w:t xml:space="preserve"> </w:t>
      </w:r>
      <w:r>
        <w:rPr>
          <w:rFonts w:hint="eastAsia" w:ascii="黑体" w:hAnsi="黑体" w:eastAsia="黑体" w:cs="黑体"/>
          <w:color w:val="000000"/>
          <w:sz w:val="32"/>
          <w:szCs w:val="32"/>
          <w:highlight w:val="none"/>
        </w:rPr>
        <w:t xml:space="preserve">合同主要条款及格式</w:t>
      </w:r>
      <w:r/>
    </w:p>
    <w:p>
      <w:pPr>
        <w:spacing w:line="360" w:lineRule="auto"/>
        <w:shd w:val="clear" w:color="auto" w:fill="auto"/>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spacing w:line="360" w:lineRule="auto"/>
        <w:shd w:val="clear" w:color="auto" w:fill="auto"/>
        <w:widowControl/>
        <w:rPr>
          <w:rFonts w:ascii="宋体" w:hAnsi="宋体"/>
          <w:color w:val="000000"/>
          <w:szCs w:val="21"/>
          <w:highlight w:val="none"/>
        </w:rPr>
      </w:pPr>
      <w:r>
        <w:rPr>
          <w:rFonts w:ascii="宋体" w:hAnsi="宋体"/>
          <w:color w:val="000000"/>
          <w:szCs w:val="21"/>
          <w:highlight w:val="none"/>
        </w:rPr>
      </w:r>
      <w:r/>
    </w:p>
    <w:p>
      <w:pPr>
        <w:jc w:val="center"/>
        <w:spacing w:line="360" w:lineRule="auto"/>
        <w:widowControl/>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南京市政府采购合同</w:t>
      </w:r>
      <w:r/>
    </w:p>
    <w:p>
      <w:pPr>
        <w:spacing w:line="360" w:lineRule="auto"/>
        <w:widowControl/>
        <w:rPr>
          <w:rFonts w:hint="eastAsia" w:ascii="宋体" w:hAnsi="宋体"/>
          <w:b/>
          <w:bCs/>
          <w:color w:val="auto"/>
          <w:sz w:val="36"/>
          <w:szCs w:val="36"/>
          <w:highlight w:val="none"/>
        </w:rPr>
      </w:pPr>
      <w:r>
        <w:rPr>
          <w:rFonts w:hint="eastAsia" w:ascii="宋体" w:hAnsi="宋体"/>
          <w:b/>
          <w:bCs/>
          <w:color w:val="auto"/>
          <w:sz w:val="36"/>
          <w:szCs w:val="36"/>
          <w:highlight w:val="none"/>
        </w:rPr>
      </w:r>
      <w:r/>
    </w:p>
    <w:p>
      <w:pPr>
        <w:ind w:firstLine="315"/>
        <w:spacing w:line="360" w:lineRule="auto"/>
        <w:widowControl/>
        <w:rPr>
          <w:rFonts w:ascii="宋体" w:hAnsi="宋体"/>
          <w:color w:val="auto"/>
          <w:szCs w:val="21"/>
          <w:highlight w:val="none"/>
        </w:rPr>
      </w:pPr>
      <w:r>
        <w:rPr>
          <w:rFonts w:ascii="宋体" w:hAnsi="宋体"/>
          <w:color w:val="auto"/>
          <w:szCs w:val="21"/>
          <w:highlight w:val="none"/>
        </w:rPr>
      </w:r>
      <w:r/>
    </w:p>
    <w:p>
      <w:pPr>
        <w:ind w:firstLine="315"/>
        <w:spacing w:line="360" w:lineRule="auto"/>
        <w:widowControl/>
        <w:rPr>
          <w:rFonts w:ascii="宋体" w:hAnsi="宋体"/>
          <w:color w:val="auto"/>
          <w:szCs w:val="21"/>
          <w:highlight w:val="none"/>
        </w:rPr>
      </w:pPr>
      <w:r>
        <w:rPr>
          <w:rFonts w:ascii="宋体" w:hAnsi="宋体"/>
          <w:color w:val="auto"/>
          <w:szCs w:val="21"/>
          <w:highlight w:val="none"/>
        </w:rPr>
      </w:r>
      <w:r/>
    </w:p>
    <w:p>
      <w:pPr>
        <w:spacing w:line="360" w:lineRule="auto"/>
        <w:widowControl/>
        <w:rPr>
          <w:rFonts w:ascii="宋体" w:hAnsi="宋体"/>
          <w:color w:val="auto"/>
          <w:szCs w:val="21"/>
          <w:highlight w:val="none"/>
        </w:rPr>
      </w:pPr>
      <w:r>
        <w:rPr>
          <w:rFonts w:ascii="宋体" w:hAnsi="宋体"/>
          <w:color w:val="auto"/>
          <w:szCs w:val="21"/>
          <w:highlight w:val="none"/>
        </w:rPr>
      </w:r>
      <w:r/>
    </w:p>
    <w:p>
      <w:pPr>
        <w:ind w:firstLine="1918"/>
        <w:spacing w:line="360" w:lineRule="auto"/>
        <w:widowControl/>
        <w:rPr>
          <w:rFonts w:hint="eastAsia" w:ascii="宋体" w:hAnsi="宋体" w:eastAsia="宋体"/>
          <w:color w:val="auto"/>
          <w:sz w:val="30"/>
          <w:szCs w:val="30"/>
          <w:highlight w:val="none"/>
        </w:rPr>
      </w:pPr>
      <w:r>
        <w:rPr>
          <w:rFonts w:hint="eastAsia" w:ascii="宋体" w:hAnsi="宋体" w:eastAsia="宋体"/>
          <w:b/>
          <w:bCs/>
          <w:color w:val="auto"/>
          <w:sz w:val="30"/>
          <w:szCs w:val="30"/>
          <w:highlight w:val="none"/>
        </w:rPr>
        <w:t xml:space="preserve">合同编号 ：</w:t>
      </w:r>
      <w:r>
        <w:rPr>
          <w:rFonts w:hint="eastAsia" w:ascii="宋体" w:hAnsi="宋体" w:eastAsia="宋体"/>
          <w:b/>
          <w:bCs/>
          <w:color w:val="auto"/>
          <w:sz w:val="30"/>
          <w:szCs w:val="30"/>
          <w:highlight w:val="none"/>
          <w:u w:val="single"/>
        </w:rPr>
        <w:t xml:space="preserve">          </w:t>
      </w:r>
      <w:r/>
    </w:p>
    <w:p>
      <w:pPr>
        <w:ind w:firstLine="1918"/>
        <w:spacing w:line="360" w:lineRule="auto"/>
        <w:widowControl/>
        <w:rPr>
          <w:rFonts w:hint="eastAsia" w:ascii="宋体" w:hAnsi="宋体" w:eastAsia="宋体"/>
          <w:color w:val="auto"/>
          <w:sz w:val="30"/>
          <w:szCs w:val="30"/>
          <w:highlight w:val="none"/>
        </w:rPr>
      </w:pPr>
      <w:r>
        <w:rPr>
          <w:rFonts w:hint="eastAsia" w:ascii="宋体" w:hAnsi="宋体" w:eastAsia="宋体"/>
          <w:b/>
          <w:bCs/>
          <w:color w:val="auto"/>
          <w:sz w:val="30"/>
          <w:szCs w:val="30"/>
          <w:highlight w:val="none"/>
        </w:rPr>
        <w:t xml:space="preserve">项目名称 ：</w:t>
      </w:r>
      <w:r>
        <w:rPr>
          <w:rFonts w:hint="eastAsia" w:ascii="宋体" w:hAnsi="宋体" w:eastAsia="宋体"/>
          <w:b/>
          <w:bCs/>
          <w:color w:val="auto"/>
          <w:sz w:val="30"/>
          <w:szCs w:val="30"/>
          <w:highlight w:val="none"/>
          <w:u w:val="single"/>
        </w:rPr>
        <w:t xml:space="preserve">          </w:t>
      </w:r>
      <w:r/>
    </w:p>
    <w:p>
      <w:pPr>
        <w:ind w:firstLine="1918"/>
        <w:spacing w:line="360" w:lineRule="auto"/>
        <w:widowControl/>
        <w:rPr>
          <w:rFonts w:hint="eastAsia" w:ascii="宋体" w:hAnsi="宋体" w:eastAsia="宋体"/>
          <w:color w:val="auto"/>
          <w:sz w:val="30"/>
          <w:szCs w:val="30"/>
          <w:highlight w:val="none"/>
        </w:rPr>
      </w:pPr>
      <w:r>
        <w:rPr>
          <w:rFonts w:hint="eastAsia" w:ascii="宋体" w:hAnsi="宋体" w:eastAsia="宋体"/>
          <w:b/>
          <w:bCs/>
          <w:color w:val="auto"/>
          <w:sz w:val="30"/>
          <w:szCs w:val="30"/>
          <w:highlight w:val="none"/>
        </w:rPr>
        <w:t xml:space="preserve">采</w:t>
      </w:r>
      <w:r>
        <w:rPr>
          <w:rFonts w:hint="eastAsia" w:ascii="宋体" w:hAnsi="宋体" w:eastAsia="宋体"/>
          <w:b/>
          <w:bCs/>
          <w:color w:val="auto"/>
          <w:sz w:val="30"/>
          <w:szCs w:val="30"/>
          <w:highlight w:val="none"/>
          <w:lang w:val="en-US"/>
        </w:rPr>
        <w:t xml:space="preserve"> </w:t>
      </w:r>
      <w:r>
        <w:rPr>
          <w:rFonts w:hint="eastAsia" w:ascii="宋体" w:hAnsi="宋体" w:eastAsia="宋体"/>
          <w:b/>
          <w:bCs/>
          <w:color w:val="auto"/>
          <w:sz w:val="30"/>
          <w:szCs w:val="30"/>
          <w:highlight w:val="none"/>
        </w:rPr>
        <w:t xml:space="preserve">购</w:t>
      </w:r>
      <w:r>
        <w:rPr>
          <w:rFonts w:hint="eastAsia" w:ascii="宋体" w:hAnsi="宋体" w:eastAsia="宋体"/>
          <w:b/>
          <w:bCs/>
          <w:color w:val="auto"/>
          <w:sz w:val="30"/>
          <w:szCs w:val="30"/>
          <w:highlight w:val="none"/>
          <w:lang w:val="en-US"/>
        </w:rPr>
        <w:t xml:space="preserve"> </w:t>
      </w:r>
      <w:r>
        <w:rPr>
          <w:rFonts w:hint="eastAsia" w:ascii="宋体" w:hAnsi="宋体" w:eastAsia="宋体"/>
          <w:b/>
          <w:bCs/>
          <w:color w:val="auto"/>
          <w:sz w:val="30"/>
          <w:szCs w:val="30"/>
          <w:highlight w:val="none"/>
        </w:rPr>
        <w:t xml:space="preserve">人 ：</w:t>
      </w:r>
      <w:r>
        <w:rPr>
          <w:rFonts w:hint="eastAsia" w:ascii="宋体" w:hAnsi="宋体" w:eastAsia="宋体"/>
          <w:b/>
          <w:bCs/>
          <w:color w:val="auto"/>
          <w:sz w:val="30"/>
          <w:szCs w:val="30"/>
          <w:highlight w:val="none"/>
          <w:u w:val="single"/>
        </w:rPr>
        <w:t xml:space="preserve">          </w:t>
      </w:r>
      <w:r/>
    </w:p>
    <w:p>
      <w:pPr>
        <w:ind w:firstLine="1916"/>
        <w:spacing w:line="360" w:lineRule="auto"/>
        <w:widowControl/>
        <w:rPr>
          <w:rFonts w:hint="eastAsia" w:ascii="宋体" w:hAnsi="宋体" w:eastAsia="宋体"/>
          <w:color w:val="auto"/>
          <w:sz w:val="30"/>
          <w:szCs w:val="30"/>
          <w:highlight w:val="none"/>
        </w:rPr>
      </w:pPr>
      <w:r>
        <w:rPr>
          <w:rFonts w:hint="eastAsia" w:ascii="宋体" w:hAnsi="宋体" w:eastAsia="宋体"/>
          <w:b/>
          <w:bCs/>
          <w:color w:val="auto"/>
          <w:sz w:val="30"/>
          <w:szCs w:val="30"/>
          <w:highlight w:val="none"/>
        </w:rPr>
        <w:t xml:space="preserve">供</w:t>
      </w:r>
      <w:r>
        <w:rPr>
          <w:rFonts w:hint="eastAsia" w:ascii="宋体" w:hAnsi="宋体" w:eastAsia="宋体"/>
          <w:b/>
          <w:bCs/>
          <w:color w:val="auto"/>
          <w:sz w:val="30"/>
          <w:szCs w:val="30"/>
          <w:highlight w:val="none"/>
          <w:lang w:val="en-US"/>
        </w:rPr>
        <w:t xml:space="preserve"> </w:t>
      </w:r>
      <w:r>
        <w:rPr>
          <w:rFonts w:hint="eastAsia" w:ascii="宋体" w:hAnsi="宋体" w:eastAsia="宋体"/>
          <w:b/>
          <w:bCs/>
          <w:color w:val="auto"/>
          <w:sz w:val="30"/>
          <w:szCs w:val="30"/>
          <w:highlight w:val="none"/>
        </w:rPr>
        <w:t xml:space="preserve">应</w:t>
      </w:r>
      <w:r>
        <w:rPr>
          <w:rFonts w:hint="eastAsia" w:ascii="宋体" w:hAnsi="宋体" w:eastAsia="宋体"/>
          <w:b/>
          <w:bCs/>
          <w:color w:val="auto"/>
          <w:sz w:val="30"/>
          <w:szCs w:val="30"/>
          <w:highlight w:val="none"/>
          <w:lang w:val="en-US"/>
        </w:rPr>
        <w:t xml:space="preserve"> </w:t>
      </w:r>
      <w:r>
        <w:rPr>
          <w:rFonts w:hint="eastAsia" w:ascii="宋体" w:hAnsi="宋体" w:eastAsia="宋体"/>
          <w:b/>
          <w:bCs/>
          <w:color w:val="auto"/>
          <w:sz w:val="30"/>
          <w:szCs w:val="30"/>
          <w:highlight w:val="none"/>
        </w:rPr>
        <w:t xml:space="preserve">商 ：</w:t>
      </w:r>
      <w:r>
        <w:rPr>
          <w:rFonts w:hint="eastAsia" w:ascii="宋体" w:hAnsi="宋体" w:eastAsia="宋体"/>
          <w:b/>
          <w:bCs/>
          <w:color w:val="auto"/>
          <w:sz w:val="30"/>
          <w:szCs w:val="30"/>
          <w:highlight w:val="none"/>
          <w:u w:val="single"/>
        </w:rPr>
        <w:t xml:space="preserve">          </w:t>
      </w:r>
      <w:r/>
    </w:p>
    <w:p>
      <w:pPr>
        <w:ind w:firstLine="1916"/>
        <w:spacing w:line="360" w:lineRule="auto"/>
        <w:widowControl/>
        <w:rPr>
          <w:rFonts w:hint="eastAsia" w:ascii="宋体" w:hAnsi="宋体" w:eastAsia="宋体"/>
          <w:color w:val="auto"/>
          <w:sz w:val="30"/>
          <w:szCs w:val="30"/>
          <w:highlight w:val="none"/>
        </w:rPr>
      </w:pPr>
      <w:r>
        <w:rPr>
          <w:rFonts w:hint="eastAsia" w:ascii="宋体" w:hAnsi="宋体" w:eastAsia="宋体"/>
          <w:b/>
          <w:bCs/>
          <w:color w:val="auto"/>
          <w:sz w:val="30"/>
          <w:szCs w:val="30"/>
          <w:highlight w:val="none"/>
        </w:rPr>
        <w:t xml:space="preserve">签订日期 ：</w:t>
      </w:r>
      <w:r>
        <w:rPr>
          <w:rFonts w:hint="eastAsia" w:ascii="宋体" w:hAnsi="宋体" w:eastAsia="宋体"/>
          <w:b/>
          <w:bCs/>
          <w:color w:val="auto"/>
          <w:sz w:val="30"/>
          <w:szCs w:val="30"/>
          <w:highlight w:val="none"/>
          <w:u w:val="single"/>
        </w:rPr>
        <w:t xml:space="preserve">          </w:t>
      </w:r>
      <w:r/>
    </w:p>
    <w:p>
      <w:pPr>
        <w:spacing w:line="360" w:lineRule="auto"/>
        <w:widowControl/>
        <w:rPr>
          <w:rFonts w:hint="eastAsia" w:ascii="宋体" w:hAnsi="宋体"/>
          <w:color w:val="auto"/>
          <w:sz w:val="30"/>
          <w:szCs w:val="30"/>
          <w:highlight w:val="none"/>
        </w:rPr>
      </w:pPr>
      <w:r>
        <w:rPr>
          <w:rFonts w:hint="eastAsia" w:ascii="宋体" w:hAnsi="宋体"/>
          <w:color w:val="auto"/>
          <w:sz w:val="30"/>
          <w:szCs w:val="30"/>
          <w:highlight w:val="none"/>
        </w:rPr>
        <w:t xml:space="preserve">      </w:t>
      </w:r>
      <w:r/>
    </w:p>
    <w:p>
      <w:pPr>
        <w:pStyle w:val="1202"/>
        <w:ind w:firstLine="678"/>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pStyle w:val="1202"/>
        <w:ind w:firstLine="678"/>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南京市市场监督管理局</w:t>
      </w:r>
      <w:r/>
    </w:p>
    <w:p>
      <w:pPr>
        <w:jc w:val="center"/>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南京市财政局  监制</w:t>
      </w:r>
      <w:r/>
    </w:p>
    <w:p>
      <w:pPr>
        <w:spacing w:line="360" w:lineRule="auto"/>
        <w:widowControl/>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spacing w:line="360" w:lineRule="auto"/>
        <w:widowControl/>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spacing w:line="360" w:lineRule="auto"/>
        <w:widowControl/>
        <w:rPr>
          <w:rFonts w:hint="eastAsia" w:ascii="宋体" w:hAnsi="宋体"/>
          <w:color w:val="auto"/>
          <w:sz w:val="30"/>
          <w:szCs w:val="30"/>
          <w:highlight w:val="none"/>
        </w:rPr>
      </w:pPr>
      <w:r>
        <w:rPr>
          <w:rFonts w:hint="eastAsia" w:ascii="宋体" w:hAnsi="宋体" w:eastAsia="宋体"/>
          <w:b/>
          <w:bCs/>
          <w:color w:val="auto"/>
          <w:sz w:val="32"/>
          <w:szCs w:val="32"/>
          <w:highlight w:val="none"/>
        </w:rPr>
        <w:t xml:space="preserve">（本项目最终签订的合同由合同双方协商后确定）</w:t>
      </w:r>
      <w:r/>
    </w:p>
    <w:p>
      <w:pPr>
        <w:spacing w:line="360" w:lineRule="auto"/>
        <w:rPr>
          <w:rFonts w:hint="eastAsia" w:ascii="宋体" w:hAnsi="宋体" w:eastAsia="宋体" w:cs="宋体"/>
          <w:bCs/>
          <w:color w:val="auto"/>
          <w:sz w:val="21"/>
          <w:szCs w:val="21"/>
          <w:highlight w:val="none"/>
          <w:lang w:eastAsia="zh-CN"/>
        </w:rPr>
      </w:pPr>
      <w:r>
        <w:rPr>
          <w:rFonts w:hint="eastAsia" w:ascii="宋体" w:hAnsi="宋体"/>
          <w:b/>
          <w:bCs/>
          <w:color w:val="auto"/>
          <w:sz w:val="30"/>
          <w:szCs w:val="30"/>
          <w:highlight w:val="none"/>
        </w:rPr>
        <w:br w:type="page" w:clear="all"/>
      </w:r>
      <w:r>
        <w:rPr>
          <w:rFonts w:hint="eastAsia" w:ascii="宋体" w:hAnsi="宋体" w:eastAsia="宋体" w:cs="宋体"/>
          <w:color w:val="auto"/>
          <w:sz w:val="21"/>
          <w:szCs w:val="21"/>
          <w:highlight w:val="none"/>
        </w:rPr>
        <w:t xml:space="preserve">合同编号：</w:t>
      </w:r>
      <w:r/>
    </w:p>
    <w:tbl>
      <w:tblPr>
        <w:tblStyle w:val="78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住所地</w:t>
            </w:r>
            <w:r>
              <w:rPr>
                <w:rFonts w:hint="eastAsia" w:ascii="宋体" w:hAnsi="宋体" w:eastAsia="宋体" w:cs="宋体"/>
                <w:color w:val="auto"/>
                <w:sz w:val="21"/>
                <w:szCs w:val="21"/>
                <w:highlight w:val="none"/>
                <w:lang w:eastAsia="zh-CN"/>
              </w:rPr>
              <w:t xml:space="preserve">：</w:t>
            </w:r>
            <w:r/>
          </w:p>
        </w:tc>
      </w:tr>
    </w:tbl>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根据《中华人民共和国政府采购法》、《中华人民共和国民法典》等法律法规的规定，甲乙双方按照采购代理机构的招标结果签订本合同。</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第一条 合同标的</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rPr>
        <w:t xml:space="preserve">乙方根据甲方需求提供下列服务：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2、具体服务执行要求</w:t>
      </w:r>
      <w:r>
        <w:rPr>
          <w:rFonts w:hint="eastAsia" w:ascii="宋体" w:hAnsi="宋体" w:eastAsia="宋体" w:cs="宋体"/>
          <w:color w:val="auto"/>
          <w:sz w:val="21"/>
          <w:szCs w:val="21"/>
          <w:highlight w:val="none"/>
        </w:rPr>
        <w:t xml:space="preserve">详见乙方投标文件。</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第二条 合同总价款</w:t>
      </w:r>
      <w:r/>
    </w:p>
    <w:p>
      <w:pPr>
        <w:ind w:firstLine="21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rPr>
        <w:t xml:space="preserve">本合同项下服务总价款为___________（大写）人民币，分项价款在乙方“投标文件价格部分”中有明确规定。</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本合同总价款是完成本项目所发生的所有含税费用、支付给员工的工资和国家强制缴纳的各种社会保障资金</w:t>
      </w:r>
      <w:r>
        <w:rPr>
          <w:rFonts w:hint="eastAsia" w:ascii="宋体" w:hAnsi="宋体" w:eastAsia="宋体" w:cs="宋体"/>
          <w:bCs/>
          <w:color w:val="auto"/>
          <w:sz w:val="21"/>
          <w:szCs w:val="21"/>
          <w:highlight w:val="none"/>
        </w:rPr>
        <w:t xml:space="preserve">，以</w:t>
      </w:r>
      <w:r>
        <w:rPr>
          <w:rFonts w:hint="eastAsia" w:ascii="宋体" w:hAnsi="宋体" w:eastAsia="宋体" w:cs="宋体"/>
          <w:color w:val="auto"/>
          <w:sz w:val="21"/>
          <w:szCs w:val="21"/>
          <w:highlight w:val="none"/>
        </w:rPr>
        <w:t xml:space="preserve">及乙方认为需要的其他费用等。</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第三条 组成本合同的有关文件</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下列关于</w:t>
      </w:r>
      <w:r>
        <w:rPr>
          <w:rFonts w:hint="eastAsia" w:ascii="宋体" w:hAnsi="宋体" w:eastAsia="宋体" w:cs="宋体"/>
          <w:bCs/>
          <w:color w:val="auto"/>
          <w:sz w:val="21"/>
          <w:szCs w:val="21"/>
          <w:highlight w:val="none"/>
          <w:u w:val="single"/>
          <w:lang w:val="en-US" w:eastAsia="zh-CN"/>
        </w:rPr>
        <w:t xml:space="preserve">HXZC-     </w:t>
      </w:r>
      <w:r>
        <w:rPr>
          <w:rFonts w:hint="eastAsia" w:ascii="宋体" w:hAnsi="宋体" w:eastAsia="宋体" w:cs="宋体"/>
          <w:color w:val="auto"/>
          <w:sz w:val="21"/>
          <w:szCs w:val="21"/>
          <w:highlight w:val="none"/>
        </w:rPr>
        <w:t xml:space="preserve">标的招投标文件或与本次采购活动方式相适应的文件及有关附件是本合同不可分割的组成部分，与本合同具有同等法律效力，这些文件包括但不限于：</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1、招标文件；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乙方提供的投标文件；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rPr>
        <w:t xml:space="preserve">投标承诺/服务承诺；</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4、</w:t>
      </w:r>
      <w:r>
        <w:rPr>
          <w:rFonts w:hint="eastAsia" w:ascii="宋体" w:hAnsi="宋体" w:eastAsia="宋体" w:cs="宋体"/>
          <w:color w:val="auto"/>
          <w:sz w:val="21"/>
          <w:szCs w:val="21"/>
          <w:highlight w:val="none"/>
        </w:rPr>
        <w:t xml:space="preserve">中标通知书；</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5、</w:t>
      </w:r>
      <w:r>
        <w:rPr>
          <w:rFonts w:hint="eastAsia" w:ascii="宋体" w:hAnsi="宋体" w:eastAsia="宋体" w:cs="宋体"/>
          <w:color w:val="auto"/>
          <w:sz w:val="21"/>
          <w:szCs w:val="21"/>
          <w:highlight w:val="none"/>
        </w:rPr>
        <w:t xml:space="preserve">甲乙双方商定的其他文件等。</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第四条 权利保证</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乙方应保证甲方在使用该服务或其任何一部分时不受第三方提出侵犯其专利权、版权、商标权或其他权利的起诉。一旦出现侵权，乙方应承担全部责任。</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第五条 质量保证</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乙方所提供的服务的技术规格应与招标文件规定的技术规格及投标文件所附的“技术条款偏离表”相一致；若技术性能无特殊说明，则按国家有关部门最新颁布的标准及规范为准。</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第六条 交付和验收</w:t>
      </w:r>
      <w:r/>
    </w:p>
    <w:p>
      <w:pPr>
        <w:ind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1、服务期限：自</w:t>
      </w:r>
      <w:r>
        <w:rPr>
          <w:rFonts w:hint="eastAsia" w:ascii="宋体" w:hAnsi="宋体" w:eastAsia="宋体" w:cs="宋体"/>
          <w:color w:val="auto"/>
          <w:sz w:val="21"/>
          <w:szCs w:val="21"/>
          <w:highlight w:val="none"/>
          <w:u w:val="single"/>
          <w:lang w:val="en-US"/>
        </w:rPr>
        <w:t xml:space="preserve">   年   月   日</w:t>
      </w:r>
      <w:r>
        <w:rPr>
          <w:rFonts w:hint="eastAsia" w:ascii="宋体" w:hAnsi="宋体" w:eastAsia="宋体" w:cs="宋体"/>
          <w:color w:val="auto"/>
          <w:sz w:val="21"/>
          <w:szCs w:val="21"/>
          <w:highlight w:val="none"/>
          <w:lang w:val="en-US"/>
        </w:rPr>
        <w:t xml:space="preserve">至</w:t>
      </w:r>
      <w:r>
        <w:rPr>
          <w:rFonts w:hint="eastAsia" w:ascii="宋体" w:hAnsi="宋体" w:eastAsia="宋体" w:cs="宋体"/>
          <w:color w:val="auto"/>
          <w:sz w:val="21"/>
          <w:szCs w:val="21"/>
          <w:highlight w:val="none"/>
          <w:u w:val="single"/>
          <w:lang w:val="en-US"/>
        </w:rPr>
        <w:t xml:space="preserve">   年   月   日</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2、验收标准：按行业通行标准和乙方投标文件的承诺（不低于国家相关标准）。</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第七条 履约保证金</w:t>
      </w:r>
      <w:r/>
    </w:p>
    <w:p>
      <w:pPr>
        <w:ind w:firstLine="420"/>
        <w:jc w:val="left"/>
        <w:spacing w:line="360" w:lineRule="auto"/>
        <w:rPr>
          <w:rFonts w:hint="eastAsia" w:ascii="宋体" w:hAnsi="宋体" w:eastAsia="宋体" w:cs="宋体"/>
          <w:i/>
          <w:iCs/>
          <w:color w:val="auto"/>
          <w:sz w:val="21"/>
          <w:szCs w:val="21"/>
          <w:highlight w:val="none"/>
        </w:rPr>
      </w:pPr>
      <w:r>
        <w:rPr>
          <w:rFonts w:hint="eastAsia" w:ascii="宋体" w:hAnsi="宋体" w:eastAsia="宋体" w:cs="宋体"/>
          <w:color w:val="auto"/>
          <w:sz w:val="21"/>
          <w:szCs w:val="21"/>
          <w:highlight w:val="none"/>
          <w:lang w:val="en-US" w:eastAsia="zh-CN"/>
        </w:rPr>
        <w:t xml:space="preserve">无</w:t>
      </w:r>
      <w:r>
        <w:rPr>
          <w:rFonts w:hint="eastAsia" w:ascii="宋体" w:hAnsi="宋体" w:eastAsia="宋体" w:cs="宋体"/>
          <w:color w:val="auto"/>
          <w:sz w:val="21"/>
          <w:szCs w:val="21"/>
          <w:highlight w:val="none"/>
        </w:rPr>
        <w:t xml:space="preserve">。</w:t>
      </w:r>
      <w:r/>
    </w:p>
    <w:p>
      <w:pPr>
        <w:ind w:firstLine="422"/>
        <w:jc w:val="left"/>
        <w:spacing w:line="360" w:lineRule="auto"/>
        <w:rPr>
          <w:rFonts w:hint="eastAsia" w:ascii="宋体" w:hAnsi="宋体" w:eastAsia="宋体" w:cs="宋体"/>
          <w:b/>
          <w:bCs/>
          <w:i/>
          <w:iCs/>
          <w:color w:val="auto"/>
          <w:sz w:val="21"/>
          <w:szCs w:val="21"/>
          <w:highlight w:val="none"/>
        </w:rPr>
      </w:pPr>
      <w:r>
        <w:rPr>
          <w:rFonts w:hint="eastAsia" w:ascii="宋体" w:hAnsi="宋体" w:eastAsia="宋体" w:cs="宋体"/>
          <w:b/>
          <w:bCs/>
          <w:color w:val="auto"/>
          <w:sz w:val="21"/>
          <w:szCs w:val="21"/>
          <w:highlight w:val="none"/>
        </w:rPr>
        <w:t xml:space="preserve">第八条 合同款支付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1、本合同项下所有款项均以人民币支付。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2、本合同项下的采购资金由甲方自行支付，乙方向甲方开具发票。</w:t>
      </w:r>
      <w:r/>
    </w:p>
    <w:p>
      <w:pPr>
        <w:ind w:firstLine="420"/>
        <w:jc w:val="left"/>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3、付款条件：详见招标文件</w:t>
      </w:r>
      <w:r>
        <w:rPr>
          <w:rFonts w:hint="eastAsia" w:ascii="宋体" w:hAnsi="宋体" w:eastAsia="宋体" w:cs="宋体"/>
          <w:bCs/>
          <w:color w:val="auto"/>
          <w:sz w:val="21"/>
          <w:szCs w:val="21"/>
          <w:highlight w:val="none"/>
          <w:lang w:eastAsia="zh-CN"/>
        </w:rPr>
        <w:t xml:space="preserve">。</w:t>
      </w:r>
      <w:r/>
    </w:p>
    <w:p>
      <w:pPr>
        <w:ind w:firstLine="420"/>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第九条 违约责任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rPr>
        <w:t xml:space="preserve">甲方无正当理由拒收服务、拒付服务款的，由甲方向乙方偿付合同总价的5%违约金。</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甲方未按合同规定的期限向乙方支付服务款的，每逾期1天甲方向乙方偿付欠款总额的5‰滞纳金，但累计滞纳金总额不超过欠款总额的5%。</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rPr>
        <w:t xml:space="preserve">如乙方不能交付服务、完成</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的，乙方应向甲方支付合同总价5%的违约金。</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4、</w:t>
      </w:r>
      <w:r>
        <w:rPr>
          <w:rFonts w:hint="eastAsia" w:ascii="宋体" w:hAnsi="宋体" w:eastAsia="宋体" w:cs="宋体"/>
          <w:color w:val="auto"/>
          <w:sz w:val="21"/>
          <w:szCs w:val="21"/>
          <w:highlight w:val="none"/>
        </w:rPr>
        <w:t xml:space="preserve">乙方逾期交付的，每逾期1天，乙方向甲方偿付合同总额的5‰的滞纳金。如乙方逾期交付达10天，甲方有权解除合同，解除合同的通知自到达乙方时生效。</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5、</w:t>
      </w:r>
      <w:r>
        <w:rPr>
          <w:rFonts w:hint="eastAsia" w:ascii="宋体" w:hAnsi="宋体" w:eastAsia="宋体" w:cs="宋体"/>
          <w:color w:val="auto"/>
          <w:sz w:val="21"/>
          <w:szCs w:val="21"/>
          <w:highlight w:val="none"/>
        </w:rPr>
        <w:t xml:space="preserve">乙方所交付的服务不符合合同规定的，甲方有权拒收。甲方拒收的，乙方应向甲方支付合同总款5%的违约金。甲方未拒收的，采购代理机构发现后将向有关部门反映，并责成乙方按照采购结果提供服务。</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6、</w:t>
      </w:r>
      <w:r>
        <w:rPr>
          <w:rFonts w:hint="eastAsia" w:ascii="宋体" w:hAnsi="宋体" w:eastAsia="宋体" w:cs="宋体"/>
          <w:color w:val="auto"/>
          <w:sz w:val="21"/>
          <w:szCs w:val="21"/>
          <w:highlight w:val="none"/>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7、</w:t>
      </w:r>
      <w:r>
        <w:rPr>
          <w:rFonts w:hint="eastAsia" w:ascii="宋体" w:hAnsi="宋体" w:eastAsia="宋体" w:cs="宋体"/>
          <w:color w:val="auto"/>
          <w:sz w:val="21"/>
          <w:szCs w:val="21"/>
          <w:highlight w:val="none"/>
        </w:rPr>
        <w:t xml:space="preserve">乙方未按本合同的规定和“服务承诺”提供伴随服务/售后服务的，应按合同总价款的5%向甲方承担违约责任。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8、</w:t>
      </w:r>
      <w:r>
        <w:rPr>
          <w:rFonts w:hint="eastAsia" w:ascii="宋体" w:hAnsi="宋体" w:eastAsia="宋体" w:cs="宋体"/>
          <w:color w:val="auto"/>
          <w:sz w:val="21"/>
          <w:szCs w:val="21"/>
          <w:highlight w:val="none"/>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9、</w:t>
      </w:r>
      <w:r>
        <w:rPr>
          <w:rFonts w:hint="eastAsia" w:ascii="宋体" w:hAnsi="宋体" w:eastAsia="宋体" w:cs="宋体"/>
          <w:color w:val="auto"/>
          <w:sz w:val="21"/>
          <w:szCs w:val="21"/>
          <w:highlight w:val="none"/>
        </w:rPr>
        <w:t xml:space="preserve">乙方投标属虚假承诺，或经权威部门监测提供的服务不能满足招标文件要求，或是由于乙方的过错造成合同无法继续履行的，乙方应向甲方支付不少于合同总价30%赔偿金。</w:t>
      </w:r>
      <w:r/>
    </w:p>
    <w:p>
      <w:pPr>
        <w:ind w:firstLine="422"/>
        <w:jc w:val="left"/>
        <w:spacing w:line="360" w:lineRule="auto"/>
        <w:widowControl/>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rPr>
        <w:t xml:space="preserve">第十条</w:t>
      </w:r>
      <w:r>
        <w:rPr>
          <w:rFonts w:hint="eastAsia" w:ascii="宋体" w:hAnsi="宋体" w:eastAsia="宋体" w:cs="宋体"/>
          <w:b/>
          <w:bCs/>
          <w:color w:val="auto"/>
          <w:sz w:val="21"/>
          <w:szCs w:val="21"/>
          <w:highlight w:val="none"/>
          <w:lang w:val="en-US"/>
        </w:rPr>
        <w:t xml:space="preserve"> 项目履约验收</w:t>
      </w:r>
      <w:r/>
    </w:p>
    <w:p>
      <w:pPr>
        <w:ind w:firstLine="420"/>
        <w:jc w:val="left"/>
        <w:spacing w:line="360"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1、甲方有权对乙方项目实施执行过程及完成结果进行履约验收；</w:t>
      </w:r>
      <w:r/>
    </w:p>
    <w:p>
      <w:pPr>
        <w:ind w:firstLine="420"/>
        <w:jc w:val="left"/>
        <w:spacing w:line="360"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2、甲方可以邀请参加本项目的其他供应商或者第三方机构参与验收，乙方应积极配合并响应；</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3、参与验收的供应商或者第三方机构的意见作为验收书的参考资料一并存档。</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第十一条 合同的变更和终止</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1、除《政府采购法》第50条第二款规定的情形外，本合同一经签订，甲乙双方不得擅自变更、中止或终止合同。</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2、除发生法律规定的不能预见、不能避免并不能克服的客观情况外，甲乙双方不得放弃或拒绝履行合同。</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第十二条 合同的转让</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乙方不得擅自部分或全部转让其应履行的合同义务。</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第十三条 争议的解决</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2、因履行本合同引起的或与本合同有关的争议，甲、乙双方应首先通过友好协商解决，如果协商不能解决争议，则采取以下第（ ）种方式解决争议：</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（1）向甲方所在地有管辖权的人民法院提起诉讼；</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（2）向南京仲裁委员会按其仲裁规则申请仲裁。</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如没有约定，默认采取第2种方式解决争议。</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3、在仲裁期间，本合同应继续履行。</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第十四条 诚实信用 </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乙方应诚实信用，严格按照招标文件要求和投标承诺履行合同，不向甲方进行商业贿赂或者提供不正当利益。</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第十五条 合同生效及其他</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1、本合同自签订之日起生效。</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w:t>
      </w:r>
      <w:r>
        <w:rPr>
          <w:rFonts w:hint="eastAsia" w:ascii="宋体" w:hAnsi="宋体" w:eastAsia="宋体" w:cs="宋体"/>
          <w:color w:val="auto"/>
          <w:sz w:val="21"/>
          <w:szCs w:val="21"/>
          <w:highlight w:val="none"/>
          <w:lang w:eastAsia="zh-CN"/>
        </w:rPr>
        <w:t xml:space="preserve">一式柒份</w:t>
      </w:r>
      <w:r>
        <w:rPr>
          <w:rFonts w:hint="eastAsia" w:ascii="宋体" w:hAnsi="宋体" w:eastAsia="宋体" w:cs="宋体"/>
          <w:color w:val="auto"/>
          <w:sz w:val="21"/>
          <w:szCs w:val="21"/>
          <w:highlight w:val="none"/>
        </w:rPr>
        <w:t xml:space="preserve">，甲乙双方各执贰份，壹份交采购代理机构存档备案。</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3、本合同应按照中华人民共和国的现行法律进行解释。</w:t>
      </w:r>
      <w:r/>
    </w:p>
    <w:p>
      <w:pPr>
        <w:ind w:firstLine="420"/>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bl>
      <w:tblPr>
        <w:tblStyle w:val="78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帐    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帐    号：</w:t>
            </w:r>
            <w:r/>
          </w:p>
        </w:tc>
      </w:tr>
    </w:tbl>
    <w:p>
      <w:pPr>
        <w:pStyle w:val="838"/>
        <w:rPr>
          <w:rFonts w:hint="eastAsia" w:ascii="宋体" w:hAnsi="宋体"/>
          <w:sz w:val="21"/>
          <w:szCs w:val="21"/>
        </w:rPr>
      </w:pPr>
      <w:r>
        <w:rPr>
          <w:rFonts w:hint="eastAsia" w:ascii="宋体" w:hAnsi="宋体"/>
          <w:sz w:val="21"/>
          <w:szCs w:val="21"/>
        </w:rPr>
      </w:r>
      <w:r/>
    </w:p>
    <w:p>
      <w:pPr>
        <w:pStyle w:val="838"/>
        <w:rPr>
          <w:rFonts w:hint="eastAsia"/>
        </w:rPr>
      </w:pPr>
      <w:r>
        <w:rPr>
          <w:rFonts w:hint="eastAsia"/>
        </w:rPr>
      </w:r>
      <w:r/>
    </w:p>
    <w:p>
      <w:pPr>
        <w:pStyle w:val="838"/>
        <w:rPr>
          <w:rFonts w:hint="eastAsia"/>
        </w:rPr>
      </w:pPr>
      <w:r>
        <w:rPr>
          <w:rFonts w:hint="eastAsia"/>
        </w:rPr>
      </w:r>
      <w:r/>
    </w:p>
    <w:p>
      <w:pPr>
        <w:pStyle w:val="812"/>
        <w:jc w:val="center"/>
        <w:rPr>
          <w:rFonts w:hint="eastAsia" w:ascii="宋体" w:hAnsi="宋体" w:eastAsia="宋体"/>
          <w:b/>
          <w:color w:val="000000"/>
          <w:sz w:val="32"/>
          <w:szCs w:val="32"/>
          <w:highlight w:val="none"/>
        </w:rPr>
      </w:pPr>
      <w:r>
        <w:rPr>
          <w:rFonts w:hint="eastAsia"/>
        </w:rPr>
        <w:br w:type="page" w:clear="all"/>
      </w:r>
      <w:r>
        <w:rPr>
          <w:rFonts w:hint="eastAsia" w:ascii="黑体" w:hAnsi="黑体" w:eastAsia="黑体" w:cs="黑体"/>
          <w:color w:val="000000"/>
          <w:sz w:val="32"/>
          <w:szCs w:val="32"/>
          <w:highlight w:val="none"/>
        </w:rPr>
        <w:t xml:space="preserve">第七章 附  件</w:t>
      </w:r>
      <w:r/>
    </w:p>
    <w:p>
      <w:pPr>
        <w:spacing w:line="420" w:lineRule="auto"/>
        <w:shd w:val="clear" w:color="auto" w:fill="auto"/>
        <w:rPr>
          <w:rFonts w:hint="eastAsia" w:ascii="宋体" w:hAnsi="宋体" w:eastAsia="宋体"/>
          <w:b/>
          <w:color w:val="000000"/>
          <w:sz w:val="21"/>
          <w:szCs w:val="21"/>
          <w:highlight w:val="none"/>
        </w:rPr>
        <w:outlineLvl w:val="1"/>
      </w:pPr>
      <w:r>
        <w:rPr>
          <w:rFonts w:hint="eastAsia" w:ascii="宋体" w:hAnsi="宋体" w:eastAsia="宋体"/>
          <w:b/>
          <w:color w:val="000000"/>
          <w:sz w:val="21"/>
          <w:szCs w:val="21"/>
          <w:highlight w:val="none"/>
        </w:rPr>
        <w:t xml:space="preserve">附件一、中小企业声明函格式</w:t>
      </w:r>
      <w:r/>
    </w:p>
    <w:p>
      <w:pPr>
        <w:jc w:val="cente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center"/>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中小企业声明函（货物）</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（单位名称）</w:t>
      </w:r>
      <w:r>
        <w:rPr>
          <w:rFonts w:hint="eastAsia" w:ascii="宋体" w:hAnsi="宋体" w:eastAsia="宋体"/>
          <w:color w:val="000000"/>
          <w:sz w:val="21"/>
          <w:szCs w:val="21"/>
          <w:highlight w:val="none"/>
        </w:rPr>
        <w:t xml:space="preserve">的</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（项目名称）</w:t>
      </w:r>
      <w:r>
        <w:rPr>
          <w:rFonts w:hint="eastAsia" w:ascii="宋体" w:hAnsi="宋体" w:eastAsia="宋体"/>
          <w:color w:val="000000"/>
          <w:sz w:val="21"/>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（标的名称）</w:t>
      </w:r>
      <w:r>
        <w:rPr>
          <w:rFonts w:hint="eastAsia" w:ascii="宋体" w:hAnsi="宋体" w:eastAsia="宋体"/>
          <w:color w:val="000000"/>
          <w:sz w:val="21"/>
          <w:szCs w:val="21"/>
          <w:highlight w:val="none"/>
        </w:rPr>
        <w:t xml:space="preserve"> ，属于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（采购文件中明确的所属行业）</w:t>
      </w:r>
      <w:r>
        <w:rPr>
          <w:rFonts w:hint="eastAsia" w:ascii="宋体" w:hAnsi="宋体" w:eastAsia="宋体"/>
          <w:color w:val="000000"/>
          <w:sz w:val="21"/>
          <w:szCs w:val="21"/>
          <w:highlight w:val="none"/>
          <w:u w:val="single"/>
        </w:rPr>
        <w:t xml:space="preserve">行业</w:t>
      </w:r>
      <w:r>
        <w:rPr>
          <w:rFonts w:hint="eastAsia" w:ascii="宋体" w:hAnsi="宋体" w:eastAsia="宋体"/>
          <w:color w:val="000000"/>
          <w:sz w:val="21"/>
          <w:szCs w:val="21"/>
          <w:highlight w:val="none"/>
        </w:rPr>
        <w:t xml:space="preserve">；制造商为</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（企业名称）</w:t>
      </w:r>
      <w:r>
        <w:rPr>
          <w:rFonts w:hint="eastAsia" w:ascii="宋体" w:hAnsi="宋体" w:eastAsia="宋体"/>
          <w:color w:val="000000"/>
          <w:sz w:val="21"/>
          <w:szCs w:val="21"/>
          <w:highlight w:val="none"/>
        </w:rPr>
        <w:t xml:space="preserve">，从业人员</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人，营业收入为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万元，资产总额为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w:t>
      </w:r>
      <w:r>
        <w:rPr>
          <w:rFonts w:hint="eastAsia" w:ascii="宋体" w:hAnsi="宋体" w:eastAsia="宋体"/>
          <w:b/>
          <w:bCs/>
          <w:color w:val="000000"/>
          <w:sz w:val="21"/>
          <w:szCs w:val="21"/>
          <w:highlight w:val="none"/>
          <w:vertAlign w:val="superscript"/>
        </w:rPr>
        <w:t xml:space="preserve">1</w:t>
      </w:r>
      <w:r>
        <w:rPr>
          <w:rFonts w:hint="eastAsia" w:ascii="宋体" w:hAnsi="宋体" w:eastAsia="宋体"/>
          <w:color w:val="000000"/>
          <w:sz w:val="21"/>
          <w:szCs w:val="21"/>
          <w:highlight w:val="none"/>
        </w:rPr>
        <w:t xml:space="preserve">，属于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（中型企业、小型企业、微型企业）</w:t>
      </w:r>
      <w:r>
        <w:rPr>
          <w:rFonts w:hint="eastAsia" w:ascii="宋体" w:hAnsi="宋体" w:eastAsia="宋体"/>
          <w:color w:val="000000"/>
          <w:sz w:val="21"/>
          <w:szCs w:val="21"/>
          <w:highlight w:val="none"/>
        </w:rPr>
        <w:t xml:space="preserve">；</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（标的名称）</w:t>
      </w:r>
      <w:r>
        <w:rPr>
          <w:rFonts w:hint="eastAsia" w:ascii="宋体" w:hAnsi="宋体" w:eastAsia="宋体"/>
          <w:color w:val="000000"/>
          <w:sz w:val="21"/>
          <w:szCs w:val="21"/>
          <w:highlight w:val="none"/>
        </w:rPr>
        <w:t xml:space="preserve"> ，属于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（采购文件中明确的所属行业）</w:t>
      </w:r>
      <w:r>
        <w:rPr>
          <w:rFonts w:hint="eastAsia" w:ascii="宋体" w:hAnsi="宋体" w:eastAsia="宋体"/>
          <w:color w:val="000000"/>
          <w:sz w:val="21"/>
          <w:szCs w:val="21"/>
          <w:highlight w:val="none"/>
          <w:u w:val="single"/>
        </w:rPr>
        <w:t xml:space="preserve">行业</w:t>
      </w:r>
      <w:r>
        <w:rPr>
          <w:rFonts w:hint="eastAsia" w:ascii="宋体" w:hAnsi="宋体" w:eastAsia="宋体"/>
          <w:color w:val="000000"/>
          <w:sz w:val="21"/>
          <w:szCs w:val="21"/>
          <w:highlight w:val="none"/>
        </w:rPr>
        <w:t xml:space="preserve">；制造商为</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（企业名称）</w:t>
      </w:r>
      <w:r>
        <w:rPr>
          <w:rFonts w:hint="eastAsia" w:ascii="宋体" w:hAnsi="宋体" w:eastAsia="宋体"/>
          <w:color w:val="000000"/>
          <w:sz w:val="21"/>
          <w:szCs w:val="21"/>
          <w:highlight w:val="none"/>
        </w:rPr>
        <w:t xml:space="preserve">，从业人员</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人，营业收入为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万元，资产总额为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（中型企业、小型企业、微型企业）</w:t>
      </w:r>
      <w:r>
        <w:rPr>
          <w:rFonts w:hint="eastAsia" w:ascii="宋体" w:hAnsi="宋体" w:eastAsia="宋体"/>
          <w:color w:val="000000"/>
          <w:sz w:val="21"/>
          <w:szCs w:val="21"/>
          <w:highlight w:val="none"/>
        </w:rPr>
        <w:t xml:space="preserve">；</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以上企业，不属于大企业的分支机构，不存在控股股东为大企业的情形，也不存在与大企业的负责人为同一人的情形。</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本企业对上述声明内容的真实性负责。如有虚假，将依法承担相应责任。</w:t>
      </w:r>
      <w:r/>
    </w:p>
    <w:p>
      <w:pPr>
        <w:ind w:right="640"/>
        <w:jc w:val="cente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企业名称（盖章）：</w:t>
      </w:r>
      <w:r/>
    </w:p>
    <w:p>
      <w:pPr>
        <w:ind w:right="640"/>
        <w:jc w:val="center"/>
        <w:spacing w:line="420" w:lineRule="auto"/>
        <w:shd w:val="clear" w:color="auto" w:fill="auto"/>
        <w:rPr>
          <w:rFonts w:hint="eastAsia" w:ascii="宋体" w:hAnsi="宋体" w:eastAsia="宋体"/>
          <w:b/>
          <w:bCs/>
          <w:color w:val="000000"/>
          <w:sz w:val="21"/>
          <w:szCs w:val="21"/>
          <w:highlight w:val="none"/>
          <w:vertAlign w:val="superscript"/>
        </w:rPr>
      </w:pPr>
      <w:r>
        <w:rPr>
          <w:rFonts w:hint="eastAsia" w:ascii="宋体" w:hAnsi="宋体" w:eastAsia="宋体"/>
          <w:color w:val="000000"/>
          <w:sz w:val="21"/>
          <w:szCs w:val="21"/>
          <w:highlight w:val="none"/>
        </w:rPr>
        <w:t xml:space="preserve">        日期：</w:t>
      </w:r>
      <w:r/>
    </w:p>
    <w:p>
      <w:pPr>
        <w:ind w:firstLine="422"/>
        <w:jc w:val="left"/>
        <w:spacing w:line="42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b/>
          <w:bCs/>
          <w:color w:val="000000"/>
          <w:sz w:val="21"/>
          <w:szCs w:val="21"/>
          <w:highlight w:val="none"/>
          <w:vertAlign w:val="superscript"/>
        </w:rPr>
        <w:t xml:space="preserve">1</w:t>
      </w:r>
      <w:r>
        <w:rPr>
          <w:rFonts w:hint="eastAsia" w:ascii="宋体" w:hAnsi="宋体" w:eastAsia="宋体"/>
          <w:color w:val="000000"/>
          <w:sz w:val="21"/>
          <w:szCs w:val="21"/>
          <w:highlight w:val="none"/>
        </w:rPr>
        <w:t xml:space="preserve">从业人员、营业收入、资产总额填报上一年度数据，无上一年度数据的新成立企业可不填报。</w:t>
      </w:r>
      <w:r/>
    </w:p>
    <w:p>
      <w:pPr>
        <w:ind w:firstLine="422"/>
        <w:jc w:val="left"/>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备注：</w:t>
      </w:r>
      <w:r/>
    </w:p>
    <w:p>
      <w:pPr>
        <w:ind w:firstLine="422"/>
        <w:jc w:val="left"/>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如供应商所投货物的制造商均为中小企业的，须由 </w:t>
      </w:r>
      <w:r>
        <w:rPr>
          <w:rFonts w:hint="eastAsia" w:ascii="宋体" w:hAnsi="宋体" w:eastAsia="宋体"/>
          <w:b/>
          <w:bCs/>
          <w:i/>
          <w:iCs/>
          <w:color w:val="000000"/>
          <w:sz w:val="24"/>
          <w:szCs w:val="24"/>
          <w:highlight w:val="none"/>
          <w:u w:val="single"/>
          <w:lang w:val="en-US"/>
        </w:rPr>
        <w:t xml:space="preserve">供应商</w:t>
      </w:r>
      <w:r>
        <w:rPr>
          <w:rFonts w:hint="eastAsia" w:ascii="宋体" w:hAnsi="宋体" w:eastAsia="宋体"/>
          <w:b/>
          <w:bCs/>
          <w:i/>
          <w:iCs/>
          <w:color w:val="000000"/>
          <w:sz w:val="24"/>
          <w:szCs w:val="24"/>
          <w:highlight w:val="none"/>
          <w:lang w:val="en-US"/>
        </w:rPr>
        <w:t xml:space="preserve"> </w:t>
      </w:r>
      <w:r>
        <w:rPr>
          <w:rFonts w:hint="eastAsia" w:ascii="宋体" w:hAnsi="宋体" w:eastAsia="宋体"/>
          <w:b/>
          <w:bCs/>
          <w:color w:val="000000"/>
          <w:sz w:val="21"/>
          <w:szCs w:val="21"/>
          <w:highlight w:val="none"/>
          <w:lang w:val="en-US"/>
        </w:rPr>
        <w:t xml:space="preserve">在投标文件中提供加盖 </w:t>
      </w:r>
      <w:r>
        <w:rPr>
          <w:rFonts w:hint="eastAsia" w:ascii="宋体" w:hAnsi="宋体" w:eastAsia="宋体"/>
          <w:b/>
          <w:bCs/>
          <w:i/>
          <w:iCs/>
          <w:color w:val="000000"/>
          <w:sz w:val="24"/>
          <w:szCs w:val="24"/>
          <w:highlight w:val="none"/>
          <w:u w:val="single"/>
          <w:lang w:val="en-US"/>
        </w:rPr>
        <w:t xml:space="preserve">本单位公章</w:t>
      </w:r>
      <w:r>
        <w:rPr>
          <w:rFonts w:hint="eastAsia" w:ascii="宋体" w:hAnsi="宋体" w:eastAsia="宋体"/>
          <w:b/>
          <w:bCs/>
          <w:i/>
          <w:iCs/>
          <w:color w:val="000000"/>
          <w:sz w:val="24"/>
          <w:szCs w:val="24"/>
          <w:highlight w:val="none"/>
          <w:lang w:val="en-US"/>
        </w:rPr>
        <w:t xml:space="preserve"> </w:t>
      </w:r>
      <w:r>
        <w:rPr>
          <w:rFonts w:hint="eastAsia" w:ascii="宋体" w:hAnsi="宋体" w:eastAsia="宋体"/>
          <w:b/>
          <w:bCs/>
          <w:color w:val="000000"/>
          <w:sz w:val="21"/>
          <w:szCs w:val="21"/>
          <w:highlight w:val="none"/>
          <w:lang w:val="en-US"/>
        </w:rPr>
        <w:t xml:space="preserve">的</w:t>
      </w:r>
      <w:r>
        <w:rPr>
          <w:rFonts w:hint="eastAsia" w:ascii="宋体" w:hAnsi="宋体" w:eastAsia="宋体"/>
          <w:b/>
          <w:color w:val="000000"/>
          <w:sz w:val="21"/>
          <w:szCs w:val="21"/>
          <w:highlight w:val="none"/>
        </w:rPr>
        <w:t xml:space="preserve">声明</w:t>
      </w:r>
      <w:r>
        <w:rPr>
          <w:rFonts w:hint="eastAsia" w:ascii="宋体" w:hAnsi="宋体" w:eastAsia="宋体"/>
          <w:b/>
          <w:bCs/>
          <w:color w:val="000000"/>
          <w:sz w:val="21"/>
          <w:szCs w:val="21"/>
          <w:highlight w:val="none"/>
          <w:lang w:val="en-US"/>
        </w:rPr>
        <w:t xml:space="preserve">函，供应商应从制造商处获得充分、准确的信息，并对其出具的《中小企业声明函》真实性负责，除此之外，供应商无需提供《中小企业声明函》之外的中小企业身份证明文件。</w:t>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color w:val="000000"/>
          <w:sz w:val="24"/>
          <w:szCs w:val="24"/>
          <w:highlight w:val="none"/>
        </w:rPr>
        <w:br w:type="page" w:clear="all"/>
      </w:r>
      <w:r>
        <w:rPr>
          <w:rFonts w:hint="eastAsia" w:ascii="宋体" w:hAnsi="宋体" w:eastAsia="宋体"/>
          <w:b/>
          <w:bCs/>
          <w:color w:val="000000"/>
          <w:sz w:val="21"/>
          <w:szCs w:val="21"/>
          <w:highlight w:val="none"/>
        </w:rPr>
        <w:t xml:space="preserve">附件二、残疾人福利性单位声明函格式（如供应商为残疾人福利性单位须提供此函）</w:t>
      </w:r>
      <w:r/>
    </w:p>
    <w:p>
      <w:pPr>
        <w:jc w:val="cente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残疾人福利性单位声明函</w:t>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本单位对上述声明的真实性负责。如有虚假，将依法承担相应责任。</w:t>
      </w:r>
      <w:r/>
    </w:p>
    <w:p>
      <w:pPr>
        <w:ind w:firstLine="420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单位名称（盖章）：</w:t>
      </w:r>
      <w:r/>
    </w:p>
    <w:p>
      <w:pPr>
        <w:ind w:firstLine="420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w:t>
      </w:r>
      <w:r/>
    </w:p>
    <w:p>
      <w:pPr>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color w:val="000000"/>
          <w:sz w:val="21"/>
          <w:szCs w:val="21"/>
          <w:highlight w:val="none"/>
        </w:rPr>
        <w:t xml:space="preserve">附件三、</w:t>
      </w:r>
      <w:r>
        <w:rPr>
          <w:rFonts w:hint="eastAsia" w:ascii="宋体" w:hAnsi="宋体" w:eastAsia="宋体"/>
          <w:b/>
          <w:bCs/>
          <w:color w:val="000000"/>
          <w:sz w:val="21"/>
          <w:szCs w:val="21"/>
          <w:highlight w:val="none"/>
        </w:rPr>
        <w:t xml:space="preserve">属于监狱企业的证明文件（如供应商为监狱企业须提供相关证明文件）</w:t>
      </w:r>
      <w:r/>
    </w:p>
    <w:p>
      <w:pP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提供由省级以上监狱管理局、戒毒管理局(含新疆生产建设兵团)出具的属于监狱企业的证明文件。</w:t>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附件四、节能产品认证文件（如有须提供）</w:t>
      </w:r>
      <w:r/>
    </w:p>
    <w:p>
      <w:pPr>
        <w:ind w:firstLine="422"/>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以供应商提供经国家确定的认证机构出具的、处于有效期之内的节能产品认证证书复印件为准。</w:t>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附件五、环境标志产品认证文件（如有须提供）</w:t>
      </w:r>
      <w:r/>
    </w:p>
    <w:p>
      <w:pPr>
        <w:ind w:firstLine="422"/>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以供应商提供经国家确定的认证机构出具的、处于有效期之内的环境标志产品认证证书复印件为准。</w:t>
      </w:r>
      <w:r/>
    </w:p>
    <w:p>
      <w:pPr>
        <w:jc w:val="center"/>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center"/>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center"/>
        <w:spacing w:line="360" w:lineRule="auto"/>
        <w:shd w:val="clear" w:color="auto" w:fill="auto"/>
        <w:rPr>
          <w:rFonts w:hint="eastAsia" w:ascii="黑体" w:hAnsi="宋体" w:eastAsia="黑体"/>
          <w:color w:val="000000"/>
          <w:sz w:val="32"/>
          <w:szCs w:val="32"/>
          <w:highlight w:val="none"/>
        </w:rPr>
        <w:outlineLvl w:val="0"/>
      </w:pPr>
      <w:r>
        <w:rPr>
          <w:rFonts w:hint="eastAsia" w:ascii="宋体" w:hAnsi="宋体" w:eastAsia="宋体"/>
          <w:color w:val="000000"/>
          <w:sz w:val="24"/>
          <w:szCs w:val="24"/>
          <w:highlight w:val="none"/>
        </w:rPr>
        <w:br w:type="page" w:clear="all"/>
      </w:r>
      <w:bookmarkStart w:id="40" w:name="_Toc381716888"/>
      <w:r>
        <w:rPr>
          <w:rFonts w:hint="eastAsia" w:ascii="黑体" w:hAnsi="宋体" w:eastAsia="黑体"/>
          <w:color w:val="000000"/>
          <w:sz w:val="32"/>
          <w:szCs w:val="32"/>
          <w:highlight w:val="none"/>
        </w:rPr>
        <w:t xml:space="preserve">第八章  投标文件格式</w:t>
      </w:r>
      <w:bookmarkEnd w:id="40"/>
      <w:r/>
      <w:r/>
    </w:p>
    <w:p>
      <w:pPr>
        <w:jc w:val="center"/>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评分索引表（可按需调整）</w:t>
      </w:r>
      <w:r/>
    </w:p>
    <w:tbl>
      <w:tblPr>
        <w:tblStyle w:val="783"/>
        <w:tblW w:w="92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200"/>
              <w:jc w:val="center"/>
              <w:spacing w:before="120" w:after="120" w:line="265" w:lineRule="atLeast"/>
              <w:shd w:val="clear" w:color="auto" w:fill="auto"/>
              <w:rPr>
                <w:rFonts w:hint="eastAsia" w:ascii="宋体" w:hAnsi="宋体" w:eastAsia="宋体"/>
                <w:b/>
                <w:bCs/>
                <w:color w:val="000000"/>
                <w:sz w:val="21"/>
                <w:szCs w:val="21"/>
                <w:highlight w:val="none"/>
                <w:lang w:eastAsia="zh-CN"/>
              </w:rPr>
            </w:pPr>
            <w:r>
              <w:rPr>
                <w:rFonts w:hint="eastAsia" w:ascii="宋体" w:hAnsi="宋体" w:eastAsia="宋体"/>
                <w:b/>
                <w:color w:val="000000"/>
                <w:sz w:val="21"/>
                <w:szCs w:val="21"/>
                <w:highlight w:val="none"/>
                <w:lang w:eastAsia="zh-CN"/>
              </w:rPr>
              <w:t xml:space="preserve">评分项目</w:t>
            </w:r>
            <w:r/>
          </w:p>
        </w:tc>
        <w:tc>
          <w:tcPr>
            <w:tcW w:w="3570" w:type="dxa"/>
            <w:vAlign w:val="center"/>
            <w:textDirection w:val="lrTb"/>
            <w:noWrap w:val="false"/>
          </w:tcPr>
          <w:p>
            <w:pPr>
              <w:jc w:val="center"/>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bidi="en-US"/>
              </w:rPr>
              <w:t xml:space="preserve">在投标文件中的页码位置</w:t>
            </w:r>
            <w:r/>
          </w:p>
        </w:tc>
      </w:tr>
      <w:tr>
        <w:trPr>
          <w:trHeight w:val="446"/>
        </w:trPr>
        <w:tc>
          <w:tcPr>
            <w:tcW w:w="5670" w:type="dxa"/>
            <w:vAlign w:val="center"/>
            <w:textDirection w:val="lrTb"/>
            <w:noWrap w:val="false"/>
          </w:tcPr>
          <w:p>
            <w:pPr>
              <w:pStyle w:val="1200"/>
              <w:ind w:left="1442" w:firstLine="422"/>
              <w:jc w:val="center"/>
              <w:spacing w:before="120" w:after="120" w:line="265" w:lineRule="atLeast"/>
              <w:shd w:val="clear" w:color="auto" w:fill="auto"/>
              <w:rPr>
                <w:rFonts w:hint="eastAsia" w:ascii="宋体" w:hAnsi="宋体" w:eastAsia="宋体"/>
                <w:b/>
                <w:color w:val="000000"/>
                <w:highlight w:val="none"/>
                <w:lang w:eastAsia="zh-CN"/>
              </w:rPr>
            </w:pPr>
            <w:r>
              <w:rPr>
                <w:rFonts w:hint="eastAsia" w:ascii="宋体" w:hAnsi="宋体" w:eastAsia="宋体"/>
                <w:b/>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b/>
                <w:color w:val="000000"/>
                <w:sz w:val="24"/>
                <w:szCs w:val="24"/>
                <w:highlight w:val="none"/>
                <w:lang w:bidi="en-US"/>
              </w:rPr>
            </w:pPr>
            <w:r>
              <w:rPr>
                <w:rFonts w:hint="eastAsia" w:ascii="宋体" w:hAnsi="宋体" w:eastAsia="宋体"/>
                <w:b/>
                <w:color w:val="000000"/>
                <w:sz w:val="24"/>
                <w:szCs w:val="24"/>
                <w:highlight w:val="none"/>
                <w:lang w:bidi="en-US"/>
              </w:rPr>
            </w:r>
            <w:r/>
          </w:p>
        </w:tc>
      </w:tr>
      <w:tr>
        <w:trPr>
          <w:trHeight w:val="300"/>
        </w:trPr>
        <w:tc>
          <w:tcPr>
            <w:gridSpan w:val="2"/>
            <w:tcW w:w="924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r>
      <w:tr>
        <w:trPr>
          <w:trHeight w:val="32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89"/>
        </w:trPr>
        <w:tc>
          <w:tcPr>
            <w:gridSpan w:val="2"/>
            <w:tcW w:w="924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r>
      <w:tr>
        <w:trPr>
          <w:trHeight w:val="60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16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78"/>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69"/>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gridSpan w:val="2"/>
            <w:tcW w:w="9240" w:type="dxa"/>
            <w:vAlign w:val="center"/>
            <w:textDirection w:val="lrTb"/>
            <w:noWrap w:val="false"/>
          </w:tcPr>
          <w:p>
            <w:pPr>
              <w:pStyle w:val="1200"/>
              <w:ind w:left="1442" w:firstLine="422"/>
              <w:jc w:val="center"/>
              <w:spacing w:before="120" w:after="120" w:line="265" w:lineRule="atLeast"/>
              <w:shd w:val="clear" w:color="auto" w:fill="auto"/>
              <w:rPr>
                <w:rFonts w:hint="eastAsia" w:ascii="宋体" w:hAnsi="宋体" w:eastAsia="宋体"/>
                <w:b/>
                <w:color w:val="000000"/>
                <w:highlight w:val="none"/>
                <w:lang w:eastAsia="zh-CN"/>
              </w:rPr>
            </w:pPr>
            <w:r>
              <w:rPr>
                <w:rFonts w:hint="eastAsia" w:ascii="宋体" w:hAnsi="宋体" w:eastAsia="宋体"/>
                <w:b/>
                <w:color w:val="000000"/>
                <w:highlight w:val="none"/>
                <w:lang w:eastAsia="zh-CN"/>
              </w:rPr>
            </w:r>
            <w:r/>
          </w:p>
        </w:tc>
      </w:tr>
      <w:tr>
        <w:trPr>
          <w:trHeight w:val="320"/>
        </w:trPr>
        <w:tc>
          <w:tcPr>
            <w:tcW w:w="5670" w:type="dxa"/>
            <w:vAlign w:val="center"/>
            <w:textDirection w:val="lrTb"/>
            <w:noWrap w:val="false"/>
          </w:tcPr>
          <w:p>
            <w:pPr>
              <w:pStyle w:val="1200"/>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20"/>
        </w:trPr>
        <w:tc>
          <w:tcPr>
            <w:tcW w:w="5670" w:type="dxa"/>
            <w:vAlign w:val="center"/>
            <w:textDirection w:val="lrTb"/>
            <w:noWrap w:val="false"/>
          </w:tcPr>
          <w:p>
            <w:pPr>
              <w:pStyle w:val="1200"/>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20"/>
        </w:trPr>
        <w:tc>
          <w:tcPr>
            <w:tcW w:w="5670" w:type="dxa"/>
            <w:vAlign w:val="center"/>
            <w:textDirection w:val="lrTb"/>
            <w:noWrap w:val="false"/>
          </w:tcPr>
          <w:p>
            <w:pPr>
              <w:pStyle w:val="1200"/>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jc w:val="right"/>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28"/>
          <w:szCs w:val="28"/>
          <w:highlight w:val="none"/>
        </w:rPr>
        <w:br w:type="page" w:clear="all"/>
      </w:r>
      <w:r/>
    </w:p>
    <w:p>
      <w:pPr>
        <w:jc w:val="center"/>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jc w:val="center"/>
        <w:spacing w:line="360" w:lineRule="auto"/>
        <w:shd w:val="clear" w:color="auto" w:fill="auto"/>
        <w:rPr>
          <w:rFonts w:hint="eastAsia" w:ascii="黑体" w:hAnsi="宋体" w:eastAsia="黑体"/>
          <w:color w:val="000000"/>
          <w:sz w:val="32"/>
          <w:szCs w:val="32"/>
          <w:highlight w:val="none"/>
          <w:lang w:eastAsia="zh-CN"/>
        </w:rPr>
      </w:pPr>
      <w:r>
        <w:rPr>
          <w:rFonts w:hint="eastAsia" w:ascii="黑体" w:hAnsi="宋体" w:eastAsia="黑体"/>
          <w:bCs/>
          <w:color w:val="000000"/>
          <w:sz w:val="32"/>
          <w:szCs w:val="32"/>
          <w:highlight w:val="none"/>
          <w:lang w:eastAsia="zh-CN"/>
        </w:rPr>
        <w:t xml:space="preserve">南京市食品药品监督检验院仪器配件耗材采购</w:t>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hd w:val="clear" w:color="auto" w:fill="auto"/>
        <w:rPr>
          <w:rFonts w:ascii="黑体" w:hAnsi="宋体" w:eastAsia="黑体"/>
          <w:color w:val="000000"/>
          <w:sz w:val="72"/>
          <w:szCs w:val="72"/>
          <w:highlight w:val="none"/>
        </w:rPr>
      </w:pPr>
      <w:r>
        <w:rPr>
          <w:rFonts w:hint="eastAsia" w:ascii="黑体" w:hAnsi="宋体" w:eastAsia="黑体"/>
          <w:color w:val="000000"/>
          <w:sz w:val="72"/>
          <w:szCs w:val="72"/>
          <w:highlight w:val="none"/>
        </w:rPr>
        <w:t xml:space="preserve">商务部分</w:t>
      </w:r>
      <w:r/>
    </w:p>
    <w:p>
      <w:pPr>
        <w:jc w:val="center"/>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bookmarkStart w:id="41" w:name="OLE_LINK25"/>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项目编号：</w:t>
      </w:r>
      <w:bookmarkStart w:id="42" w:name="OLE_LINK22"/>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bookmarkEnd w:id="42"/>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w:t>
      </w:r>
      <w:r>
        <w:rPr>
          <w:rFonts w:hint="eastAsia" w:ascii="黑体" w:hAnsi="宋体" w:eastAsia="黑体"/>
          <w:color w:val="000000"/>
          <w:sz w:val="32"/>
          <w:szCs w:val="32"/>
          <w:highlight w:val="none"/>
          <w:lang w:val="en-US" w:eastAsia="zh-CN"/>
        </w:rPr>
        <w:t xml:space="preserve">加盖电子</w:t>
      </w:r>
      <w:r>
        <w:rPr>
          <w:rFonts w:hint="eastAsia" w:ascii="黑体" w:hAnsi="宋体" w:eastAsia="黑体"/>
          <w:color w:val="000000"/>
          <w:sz w:val="32"/>
          <w:szCs w:val="32"/>
          <w:highlight w:val="none"/>
        </w:rPr>
        <w:t xml:space="preserve">公章）</w:t>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jc w:val="center"/>
        <w:spacing w:before="100" w:beforeAutospacing="1" w:after="100" w:afterAutospacing="1"/>
        <w:shd w:val="clear" w:color="auto" w:fill="auto"/>
        <w:rPr>
          <w:rFonts w:ascii="黑体" w:eastAsia="黑体"/>
          <w:color w:val="000000"/>
          <w:sz w:val="32"/>
          <w:szCs w:val="32"/>
          <w:highlight w:val="non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rPr>
          <w:rFonts w:ascii="仿宋_GB2312" w:eastAsia="仿宋_GB2312"/>
          <w:color w:val="000000"/>
          <w:sz w:val="24"/>
          <w:highlight w:val="none"/>
        </w:rPr>
        <w:br w:type="page" w:clear="all"/>
      </w:r>
      <w:bookmarkEnd w:id="41"/>
      <w:r>
        <w:rPr>
          <w:rFonts w:hint="eastAsia" w:ascii="黑体" w:eastAsia="黑体"/>
          <w:color w:val="000000"/>
          <w:sz w:val="32"/>
          <w:szCs w:val="32"/>
          <w:highlight w:val="none"/>
        </w:rPr>
        <w:t xml:space="preserve">目  录</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一、投标函（投标申请及声明）……………………………………………………………………………X</w:t>
      </w:r>
      <w:r/>
    </w:p>
    <w:p>
      <w:pPr>
        <w:jc w:val="left"/>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二、法定代表人授权委托书及委托代理人的身份证明文件的复印件……………………………………X</w:t>
      </w:r>
      <w:r/>
    </w:p>
    <w:p>
      <w:pPr>
        <w:jc w:val="left"/>
        <w:spacing w:line="60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三、《南京市政府采购供应商信用记录表暨信用承诺书》………………………………………………X</w:t>
      </w:r>
      <w:r/>
    </w:p>
    <w:p>
      <w:pPr>
        <w:jc w:val="left"/>
        <w:spacing w:line="60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四、“不存在与参加本项目的其他供应商单位负责人为同一人或者存在直接控股、管理关系”的承诺函 </w:t>
      </w:r>
      <w:r>
        <w:rPr>
          <w:rFonts w:hint="eastAsia" w:ascii="宋体" w:hAnsi="宋体" w:eastAsia="宋体"/>
          <w:color w:val="000000"/>
          <w:sz w:val="21"/>
          <w:szCs w:val="21"/>
          <w:highlight w:val="none"/>
        </w:rPr>
        <w:t xml:space="preserve">…………………………………………………………………………………………………………X</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五、第一章招标公告中2.1《中华人民共和国政府采购法》第二十二条规定的资格条件证明文件…X</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六、第一章招标公告中2.2落实政府采购政策需满足的资格要求的证明文件…………………………X</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七、第一章招标公告中2.3采购人根据采购项目的特殊要求规定的特定条件的证明文件……………X</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八、供应商认为需要提供的其他资格证明文件和商务资料………………………………………………X</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九、《商务条款偏离表》格式………………………………………………………………………………X</w:t>
      </w:r>
      <w:r/>
    </w:p>
    <w:p>
      <w:pPr>
        <w:spacing w:before="100" w:beforeAutospacing="1" w:after="100" w:afterAutospacing="1" w:line="600" w:lineRule="auto"/>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spacing w:before="100" w:beforeAutospacing="1" w:after="100" w:afterAutospacing="1"/>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jc w:val="center"/>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000000"/>
          <w:sz w:val="24"/>
          <w:szCs w:val="24"/>
          <w:highlight w:val="none"/>
        </w:rPr>
        <w:t xml:space="preserve">一、</w:t>
      </w:r>
      <w:r>
        <w:rPr>
          <w:rFonts w:hint="eastAsia" w:ascii="黑体" w:hAnsi="黑体" w:eastAsia="黑体" w:cs="黑体"/>
          <w:color w:val="auto"/>
          <w:sz w:val="24"/>
          <w:szCs w:val="24"/>
          <w:highlight w:val="none"/>
        </w:rPr>
        <w:t xml:space="preserve">投标函（投标申请及声明）</w:t>
      </w:r>
      <w:r/>
    </w:p>
    <w:p>
      <w:pPr>
        <w:spacing w:line="420" w:lineRule="auto"/>
        <w:widowControl/>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jc w:val="center"/>
        <w:spacing w:line="420" w:lineRule="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r>
      <w:r/>
    </w:p>
    <w:p>
      <w:pPr>
        <w:spacing w:line="420" w:lineRule="auto"/>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致：</w:t>
      </w:r>
      <w:r>
        <w:rPr>
          <w:rFonts w:hint="eastAsia" w:ascii="宋体" w:hAnsi="宋体" w:eastAsia="宋体"/>
          <w:bCs/>
          <w:color w:val="auto"/>
          <w:sz w:val="21"/>
          <w:szCs w:val="21"/>
          <w:highlight w:val="none"/>
          <w:lang w:eastAsia="zh-CN"/>
        </w:rPr>
        <w:t xml:space="preserve">南京市食品药品监督检验院</w:t>
      </w:r>
      <w:r/>
    </w:p>
    <w:p>
      <w:pPr>
        <w:ind w:firstLine="420"/>
        <w:spacing w:line="42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江苏省华厦工程项目管理有限公司</w:t>
      </w:r>
      <w:r/>
    </w:p>
    <w:p>
      <w:pPr>
        <w:ind w:firstLine="420"/>
        <w:spacing w:line="42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根据贵方</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rPr>
        <w:t xml:space="preserve">（项目名称）</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项目编号</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招标公告</w:t>
      </w:r>
      <w:r>
        <w:rPr>
          <w:rFonts w:hint="eastAsia" w:ascii="宋体" w:hAnsi="宋体" w:eastAsia="宋体"/>
          <w:color w:val="auto"/>
          <w:sz w:val="21"/>
          <w:szCs w:val="21"/>
          <w:highlight w:val="none"/>
        </w:rPr>
        <w:t xml:space="preserve">，正式授权下述签字人</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姓名和职务</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代表供应商</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rPr>
        <w:t xml:space="preserve">（供应商名称），提交投标文件。</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据此函，签字人兹宣布声明和承诺如下：</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b/>
          <w:bCs/>
          <w:color w:val="auto"/>
          <w:sz w:val="21"/>
          <w:szCs w:val="21"/>
          <w:highlight w:val="none"/>
        </w:rPr>
        <w:t xml:space="preserve">我们的资格条件完全符合政府采购法和本次招标要求</w:t>
      </w:r>
      <w:r>
        <w:rPr>
          <w:rFonts w:hint="eastAsia" w:ascii="宋体" w:hAnsi="宋体" w:eastAsia="宋体"/>
          <w:color w:val="auto"/>
          <w:sz w:val="21"/>
          <w:szCs w:val="21"/>
          <w:highlight w:val="none"/>
        </w:rPr>
        <w:t xml:space="preserve">，我们同意并向贵方提供了与投标有关的所有证据和资料。</w:t>
      </w:r>
      <w:r/>
    </w:p>
    <w:p>
      <w:pPr>
        <w:ind w:firstLine="420"/>
        <w:keepLines w:val="0"/>
        <w:keepNext w:val="0"/>
        <w:pageBreakBefore w:val="0"/>
        <w:spacing w:line="420" w:lineRule="auto"/>
        <w:shd w:val="clear" w:color="auto" w:fill="auto"/>
        <w:widowControl/>
        <w:rPr>
          <w:rFonts w:hint="default" w:ascii="宋体" w:hAnsi="宋体" w:eastAsia="宋体"/>
          <w:color w:val="auto"/>
          <w:sz w:val="21"/>
          <w:szCs w:val="21"/>
          <w:highlight w:val="none"/>
          <w:u w:val="single"/>
          <w:lang w:val="en-US" w:eastAsia="zh-CN"/>
        </w:rPr>
      </w:pPr>
      <w:r>
        <w:rPr>
          <w:rFonts w:hint="eastAsia" w:ascii="宋体" w:hAnsi="宋体" w:eastAsia="宋体"/>
          <w:b w:val="0"/>
          <w:bCs w:val="0"/>
          <w:color w:val="auto"/>
          <w:sz w:val="21"/>
          <w:szCs w:val="21"/>
          <w:highlight w:val="none"/>
        </w:rPr>
        <w:t xml:space="preserve">2、</w:t>
      </w:r>
      <w:r>
        <w:rPr>
          <w:rFonts w:hint="eastAsia" w:ascii="宋体" w:hAnsi="宋体" w:eastAsia="宋体"/>
          <w:color w:val="auto"/>
          <w:sz w:val="21"/>
          <w:szCs w:val="21"/>
          <w:highlight w:val="none"/>
          <w:lang w:val="en-US" w:eastAsia="zh-CN"/>
        </w:rPr>
        <w:t xml:space="preserve">我们单位</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none"/>
          <w:lang w:val="en-US" w:eastAsia="zh-CN"/>
        </w:rPr>
        <w:t xml:space="preserve">（根据单位实际情况填写“是”或“不是”）外商投资企业。</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、本项目通过验收并交付时间为：满足招标文件要求。</w:t>
      </w:r>
      <w:r/>
    </w:p>
    <w:p>
      <w:pPr>
        <w:ind w:firstLine="420"/>
        <w:keepLines w:val="0"/>
        <w:keepNext w:val="0"/>
        <w:pageBreakBefore w:val="0"/>
        <w:spacing w:line="420" w:lineRule="auto"/>
        <w:rPr>
          <w:rFonts w:hint="eastAsia" w:ascii="宋体" w:hAnsi="宋体" w:eastAsia="宋体"/>
          <w:b/>
          <w:bCs w:val="0"/>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、我们已详细审核全部招标文件及其有效补充文件，我们放弃对招标文件任何误解的权利，提交投标文件后，</w:t>
      </w:r>
      <w:r>
        <w:rPr>
          <w:rFonts w:hint="eastAsia" w:ascii="宋体" w:hAnsi="宋体" w:eastAsia="宋体"/>
          <w:b/>
          <w:bCs w:val="0"/>
          <w:color w:val="auto"/>
          <w:sz w:val="21"/>
          <w:szCs w:val="21"/>
          <w:highlight w:val="none"/>
        </w:rPr>
        <w:t xml:space="preserve">不对招标文件本身提出质疑。</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、我们同意从规定的开标日期起遵循本投标文件，并在规定的投标有效期期满之前均具有约束力。</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、一旦我方中标，我方将根据招标文件的规定严格履行合同，并保证于承诺的时间完成</w:t>
      </w:r>
      <w:r>
        <w:rPr>
          <w:rFonts w:hint="eastAsia" w:ascii="宋体" w:hAnsi="宋体" w:eastAsia="宋体"/>
          <w:color w:val="auto"/>
          <w:sz w:val="21"/>
          <w:szCs w:val="21"/>
          <w:highlight w:val="none"/>
          <w:lang w:eastAsia="zh-CN"/>
        </w:rPr>
        <w:t xml:space="preserve">项目的启动、实施</w:t>
      </w:r>
      <w:r>
        <w:rPr>
          <w:rFonts w:hint="eastAsia" w:ascii="宋体" w:hAnsi="宋体" w:eastAsia="宋体"/>
          <w:color w:val="auto"/>
          <w:sz w:val="21"/>
          <w:szCs w:val="21"/>
          <w:highlight w:val="none"/>
        </w:rPr>
        <w:t xml:space="preserve">等工作，</w:t>
      </w:r>
      <w:r>
        <w:rPr>
          <w:rFonts w:hint="eastAsia" w:ascii="宋体" w:hAnsi="宋体" w:eastAsia="宋体"/>
          <w:color w:val="auto"/>
          <w:sz w:val="21"/>
          <w:szCs w:val="21"/>
          <w:highlight w:val="none"/>
          <w:lang w:eastAsia="zh-CN"/>
        </w:rPr>
        <w:t xml:space="preserve">及时</w:t>
      </w:r>
      <w:r>
        <w:rPr>
          <w:rFonts w:hint="eastAsia" w:ascii="宋体" w:hAnsi="宋体" w:eastAsia="宋体"/>
          <w:color w:val="auto"/>
          <w:sz w:val="21"/>
          <w:szCs w:val="21"/>
          <w:highlight w:val="none"/>
        </w:rPr>
        <w:t xml:space="preserve">交付采购人验收、使用。</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、与本投标有关的正式联系方式为：</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址：</w:t>
      </w:r>
      <w:r>
        <w:rPr>
          <w:rFonts w:hint="eastAsia" w:ascii="宋体" w:hAnsi="宋体" w:eastAsia="宋体"/>
          <w:color w:val="000000"/>
          <w:sz w:val="21"/>
          <w:szCs w:val="21"/>
          <w:highlight w:val="none"/>
          <w:u w:val="single"/>
        </w:rPr>
        <w:t xml:space="preserve">                      </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话：</w:t>
      </w:r>
      <w:r>
        <w:rPr>
          <w:rFonts w:hint="eastAsia" w:ascii="宋体" w:hAnsi="宋体" w:eastAsia="宋体"/>
          <w:color w:val="000000"/>
          <w:sz w:val="21"/>
          <w:szCs w:val="21"/>
          <w:highlight w:val="none"/>
          <w:u w:val="single"/>
        </w:rPr>
        <w:t xml:space="preserve">                      </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传</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真：</w:t>
      </w:r>
      <w:r>
        <w:rPr>
          <w:rFonts w:hint="eastAsia" w:ascii="宋体" w:hAnsi="宋体" w:eastAsia="宋体"/>
          <w:color w:val="000000"/>
          <w:sz w:val="21"/>
          <w:szCs w:val="21"/>
          <w:highlight w:val="none"/>
          <w:u w:val="single"/>
        </w:rPr>
        <w:t xml:space="preserve">                      </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开户银行：</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银行账号：</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p>
    <w:p>
      <w:pPr>
        <w:ind w:firstLine="420"/>
        <w:spacing w:line="42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r>
      <w:r/>
    </w:p>
    <w:p>
      <w:pPr>
        <w:ind w:firstLine="420"/>
        <w:jc w:val="left"/>
        <w:spacing w:line="420" w:lineRule="auto"/>
        <w:shd w:val="clear" w:color="auto" w:fill="auto"/>
        <w:widowControl/>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360" w:lineRule="auto"/>
        <w:shd w:val="clear" w:color="auto" w:fill="auto"/>
        <w:widowControl/>
        <w:rPr>
          <w:rFonts w:hint="eastAsia" w:ascii="黑体" w:hAnsi="黑体" w:eastAsia="黑体" w:cs="黑体"/>
          <w:color w:val="000000"/>
          <w:sz w:val="24"/>
          <w:szCs w:val="24"/>
          <w:highlight w:val="none"/>
        </w:rPr>
        <w:outlineLvl w:val="1"/>
      </w:pPr>
      <w:r>
        <w:rPr>
          <w:rFonts w:hint="eastAsia" w:ascii="宋体" w:hAnsi="宋体"/>
          <w:color w:val="000000"/>
          <w:sz w:val="28"/>
          <w:szCs w:val="28"/>
          <w:highlight w:val="none"/>
        </w:rPr>
        <w:br w:type="page" w:clear="all"/>
      </w:r>
      <w:r>
        <w:rPr>
          <w:rFonts w:hint="eastAsia" w:ascii="黑体" w:hAnsi="黑体" w:eastAsia="黑体" w:cs="黑体"/>
          <w:color w:val="000000"/>
          <w:sz w:val="24"/>
          <w:szCs w:val="24"/>
          <w:highlight w:val="none"/>
        </w:rPr>
        <w:t xml:space="preserve">二、法定代表人授权委托书及委托代理人的身份证明文件的复印件</w:t>
      </w:r>
      <w:r/>
    </w:p>
    <w:p>
      <w:pPr>
        <w:ind w:firstLine="720"/>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center"/>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法定代表人授权委托书</w:t>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42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lang w:eastAsia="zh-CN"/>
        </w:rPr>
        <w:t xml:space="preserve">南京市食品药品监督检验院</w:t>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p>
    <w:p>
      <w:pPr>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本授权书声明：注册于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（供应商住址）的</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（供应商名称）法定代表人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（法定代表人姓名、职务）代表本公司授权</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（供应商代表姓名、职务）为本公司的合法代理人，就贵方组织的</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（项目编号）投标，以本公司名义处理一切与之有关的事务。</w:t>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本授权书于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日加盖电子公章生效，特此声明。</w:t>
      </w:r>
      <w:r/>
    </w:p>
    <w:p>
      <w:pPr>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（加盖电子公章）：</w:t>
      </w:r>
      <w:r/>
    </w:p>
    <w:p>
      <w:pPr>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lang w:eastAsia="zh-CN"/>
        </w:rPr>
      </w:pPr>
      <w:r>
        <w:rPr>
          <w:rFonts w:hint="eastAsia" w:ascii="宋体" w:hAnsi="宋体" w:eastAsia="宋体"/>
          <w:b/>
          <w:bCs/>
          <w:color w:val="000000"/>
          <w:sz w:val="21"/>
          <w:szCs w:val="21"/>
          <w:highlight w:val="none"/>
        </w:rPr>
        <w:t xml:space="preserve">法定代表人身份证的复印件</w:t>
      </w:r>
      <w:r>
        <w:rPr>
          <w:rFonts w:hint="eastAsia" w:ascii="宋体" w:hAnsi="宋体" w:eastAsia="宋体"/>
          <w:b/>
          <w:bCs/>
          <w:color w:val="000000"/>
          <w:sz w:val="21"/>
          <w:szCs w:val="21"/>
          <w:highlight w:val="none"/>
          <w:lang w:eastAsia="zh-CN"/>
        </w:rPr>
        <w:t xml:space="preserve">：</w:t>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both"/>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委托代理人的身份证明文件的复印件：</w:t>
      </w:r>
      <w:r/>
    </w:p>
    <w:p>
      <w:pPr>
        <w:ind w:firstLine="420"/>
        <w:jc w:val="left"/>
        <w:spacing w:line="420" w:lineRule="auto"/>
        <w:shd w:val="clear" w:color="auto" w:fill="auto"/>
        <w:widowControl/>
        <w:tabs>
          <w:tab w:val="left" w:pos="144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42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spacing w:line="420" w:lineRule="auto"/>
        <w:shd w:val="clear" w:color="auto" w:fill="auto"/>
        <w:rPr>
          <w:rFonts w:hint="eastAsia" w:ascii="黑体" w:hAnsi="黑体" w:eastAsia="黑体" w:cs="黑体"/>
          <w:color w:val="000000"/>
          <w:sz w:val="24"/>
          <w:szCs w:val="24"/>
          <w:highlight w:val="none"/>
        </w:rPr>
        <w:outlineLvl w:val="1"/>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三、《南京市政府采购供应商信用记录表暨信用承诺书》</w:t>
      </w:r>
      <w:r/>
    </w:p>
    <w:p>
      <w:pPr>
        <w:ind w:right="-159"/>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right="-159"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供应商参加本项目政府采购活动时，无论是新用户注册或已注册成功的，均应在招标公告发布之日起至投标截止时间前，登录“信用南京”或“</w:t>
      </w:r>
      <w:r>
        <w:rPr>
          <w:rFonts w:hint="eastAsia" w:ascii="宋体" w:hAnsi="宋体" w:eastAsia="宋体"/>
          <w:color w:val="000000"/>
          <w:sz w:val="21"/>
          <w:szCs w:val="21"/>
          <w:highlight w:val="none"/>
          <w:lang w:val="en-US"/>
        </w:rPr>
        <w:t xml:space="preserve">南京公共采购信息网</w:t>
      </w:r>
      <w:r>
        <w:rPr>
          <w:rFonts w:hint="eastAsia" w:ascii="宋体" w:hAnsi="宋体" w:eastAsia="宋体"/>
          <w:color w:val="000000"/>
          <w:sz w:val="21"/>
          <w:szCs w:val="21"/>
          <w:highlight w:val="none"/>
        </w:rPr>
        <w:t xml:space="preserve">”在线打印其《南京市政府采购供应商信用记录表暨信用承诺书》，经法定代表人签名盖章后作为投标文件的有效组成部分。《南京市政府采购供应商信用记录表暨信用承诺书》是其参加本次政府采购活动的必备材料。</w:t>
      </w:r>
      <w:r/>
    </w:p>
    <w:p>
      <w:pPr>
        <w:ind w:right="-159"/>
        <w:spacing w:line="42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ascii="黑体" w:hAnsi="黑体" w:eastAsia="黑体" w:cs="黑体"/>
          <w:color w:val="000000"/>
          <w:spacing w:val="-3"/>
          <w:sz w:val="36"/>
          <w:szCs w:val="36"/>
          <w:highlight w:val="none"/>
        </w:rPr>
      </w:pPr>
      <w:r>
        <w:rPr>
          <w:rFonts w:hint="eastAsia" w:ascii="宋体" w:hAnsi="宋体" w:eastAsia="宋体"/>
          <w:b/>
          <w:color w:val="000000"/>
          <w:sz w:val="21"/>
          <w:szCs w:val="21"/>
          <w:highlight w:val="none"/>
          <w:lang w:val="en-US" w:eastAsia="zh-CN"/>
        </w:rPr>
        <w:t xml:space="preserve">2</w:t>
      </w:r>
      <w:r>
        <w:rPr>
          <w:rFonts w:hint="eastAsia" w:ascii="宋体" w:hAnsi="宋体" w:eastAsia="宋体"/>
          <w:b/>
          <w:color w:val="000000"/>
          <w:sz w:val="21"/>
          <w:szCs w:val="21"/>
          <w:highlight w:val="none"/>
          <w:lang w:val="en-US"/>
        </w:rPr>
        <w:t xml:space="preserve">、信用承诺书格式</w:t>
      </w:r>
      <w:r>
        <w:rPr>
          <w:rFonts w:hint="eastAsia" w:ascii="宋体" w:hAnsi="宋体" w:eastAsia="宋体"/>
          <w:b/>
          <w:color w:val="000000"/>
          <w:sz w:val="21"/>
          <w:szCs w:val="21"/>
          <w:highlight w:val="none"/>
        </w:rPr>
        <w:t xml:space="preserve">（</w:t>
      </w:r>
      <w:r>
        <w:rPr>
          <w:rFonts w:hint="eastAsia" w:ascii="宋体" w:hAnsi="宋体" w:eastAsia="宋体"/>
          <w:b/>
          <w:color w:val="000000"/>
          <w:sz w:val="21"/>
          <w:szCs w:val="21"/>
          <w:highlight w:val="none"/>
          <w:lang w:val="en-US"/>
        </w:rPr>
        <w:t xml:space="preserve">以下为参考格式，供应商须通过网站在线打印后签名盖章）</w:t>
      </w:r>
      <w:r/>
    </w:p>
    <w:p>
      <w:pPr>
        <w:jc w:val="center"/>
        <w:spacing w:before="259" w:line="204" w:lineRule="auto"/>
        <w:shd w:val="clear" w:color="auto" w:fill="auto"/>
        <w:rPr>
          <w:rFonts w:ascii="黑体" w:hAnsi="黑体" w:eastAsia="黑体" w:cs="黑体"/>
          <w:color w:val="000000"/>
          <w:spacing w:val="-3"/>
          <w:sz w:val="24"/>
          <w:szCs w:val="24"/>
          <w:highlight w:val="none"/>
        </w:rPr>
      </w:pPr>
      <w:r>
        <w:rPr>
          <w:rFonts w:ascii="黑体" w:hAnsi="黑体" w:eastAsia="黑体" w:cs="黑体"/>
          <w:color w:val="000000"/>
          <w:spacing w:val="-3"/>
          <w:sz w:val="24"/>
          <w:szCs w:val="24"/>
          <w:highlight w:val="none"/>
        </w:rPr>
      </w:r>
      <w:r/>
    </w:p>
    <w:p>
      <w:pPr>
        <w:jc w:val="center"/>
        <w:spacing w:before="259" w:line="204" w:lineRule="auto"/>
        <w:shd w:val="clear" w:color="auto" w:fill="auto"/>
        <w:rPr>
          <w:rFonts w:ascii="黑体" w:hAnsi="黑体" w:eastAsia="黑体" w:cs="黑体"/>
          <w:color w:val="000000"/>
          <w:sz w:val="24"/>
          <w:szCs w:val="24"/>
          <w:highlight w:val="none"/>
        </w:rPr>
      </w:pPr>
      <w:r>
        <w:rPr>
          <w:rFonts w:ascii="黑体" w:hAnsi="黑体" w:eastAsia="黑体" w:cs="黑体"/>
          <w:color w:val="000000"/>
          <w:spacing w:val="-3"/>
          <w:sz w:val="24"/>
          <w:szCs w:val="24"/>
          <w:highlight w:val="none"/>
        </w:rPr>
        <w:t xml:space="preserve">南京市政府采购供应商信用记录表暨信用承诺书</w:t>
      </w:r>
      <w:r/>
    </w:p>
    <w:p>
      <w:pPr>
        <w:shd w:val="clear" w:color="auto" w:fill="auto"/>
        <w:rPr>
          <w:rFonts w:ascii="Arial"/>
          <w:color w:val="000000"/>
          <w:sz w:val="24"/>
          <w:szCs w:val="24"/>
          <w:highlight w:val="none"/>
        </w:rPr>
      </w:pPr>
      <w:r>
        <w:rPr>
          <w:rFonts w:ascii="Arial"/>
          <w:color w:val="000000"/>
          <w:sz w:val="24"/>
          <w:szCs w:val="24"/>
          <w:highlight w:val="none"/>
        </w:rPr>
      </w:r>
      <w:r/>
    </w:p>
    <w:p>
      <w:pPr>
        <w:jc w:val="right"/>
        <w:spacing w:before="78" w:line="204" w:lineRule="auto"/>
        <w:shd w:val="clear" w:color="auto" w:fill="auto"/>
        <w:rPr>
          <w:rFonts w:hint="eastAsia" w:ascii="宋体" w:hAnsi="宋体" w:eastAsia="宋体"/>
          <w:b/>
          <w:bCs/>
          <w:color w:val="000000"/>
          <w:sz w:val="24"/>
          <w:szCs w:val="24"/>
          <w:highlight w:val="none"/>
          <w:lang w:val="en-US"/>
        </w:rPr>
      </w:pPr>
      <w:r>
        <w:rPr>
          <w:rFonts w:hint="eastAsia" w:ascii="楷体" w:hAnsi="楷体" w:eastAsia="楷体" w:cs="楷体"/>
          <w:color w:val="000000"/>
          <w:spacing w:val="-11"/>
          <w:sz w:val="24"/>
          <w:szCs w:val="24"/>
          <w:highlight w:val="none"/>
        </w:rPr>
        <w:t xml:space="preserve">20</w:t>
      </w:r>
      <w:r>
        <w:rPr>
          <w:rFonts w:hint="eastAsia" w:ascii="楷体" w:hAnsi="楷体" w:eastAsia="楷体" w:cs="楷体"/>
          <w:color w:val="000000"/>
          <w:spacing w:val="19"/>
          <w:sz w:val="24"/>
          <w:szCs w:val="24"/>
          <w:highlight w:val="none"/>
        </w:rPr>
        <w:t xml:space="preserve">  </w:t>
      </w:r>
      <w:r>
        <w:rPr>
          <w:rFonts w:hint="eastAsia" w:ascii="楷体" w:hAnsi="楷体" w:eastAsia="楷体" w:cs="楷体"/>
          <w:color w:val="000000"/>
          <w:spacing w:val="-11"/>
          <w:sz w:val="24"/>
          <w:szCs w:val="24"/>
          <w:highlight w:val="none"/>
        </w:rPr>
        <w:t xml:space="preserve">年</w:t>
      </w:r>
      <w:r>
        <w:rPr>
          <w:rFonts w:hint="eastAsia" w:ascii="楷体" w:hAnsi="楷体" w:eastAsia="楷体" w:cs="楷体"/>
          <w:color w:val="000000"/>
          <w:spacing w:val="44"/>
          <w:sz w:val="24"/>
          <w:szCs w:val="24"/>
          <w:highlight w:val="none"/>
        </w:rPr>
        <w:t xml:space="preserve">  </w:t>
      </w:r>
      <w:r>
        <w:rPr>
          <w:rFonts w:hint="eastAsia" w:ascii="楷体" w:hAnsi="楷体" w:eastAsia="楷体" w:cs="楷体"/>
          <w:color w:val="000000"/>
          <w:spacing w:val="-11"/>
          <w:sz w:val="24"/>
          <w:szCs w:val="24"/>
          <w:highlight w:val="none"/>
        </w:rPr>
        <w:t xml:space="preserve">月</w:t>
      </w:r>
      <w:r>
        <w:rPr>
          <w:rFonts w:hint="eastAsia" w:ascii="楷体" w:hAnsi="楷体" w:eastAsia="楷体" w:cs="楷体"/>
          <w:color w:val="000000"/>
          <w:spacing w:val="4"/>
          <w:sz w:val="24"/>
          <w:szCs w:val="24"/>
          <w:highlight w:val="none"/>
        </w:rPr>
        <w:t xml:space="preserve">   </w:t>
      </w:r>
      <w:r>
        <w:rPr>
          <w:rFonts w:hint="eastAsia" w:ascii="楷体" w:hAnsi="楷体" w:eastAsia="楷体" w:cs="楷体"/>
          <w:color w:val="000000"/>
          <w:spacing w:val="-11"/>
          <w:sz w:val="24"/>
          <w:szCs w:val="24"/>
          <w:highlight w:val="none"/>
        </w:rPr>
        <w:t xml:space="preserve">日</w:t>
      </w:r>
      <w:r/>
    </w:p>
    <w:tbl>
      <w:tblPr>
        <w:tblStyle w:val="783"/>
        <w:tblW w:w="96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516"/>
        <w:gridCol w:w="1850"/>
        <w:gridCol w:w="2446"/>
        <w:gridCol w:w="2866"/>
      </w:tblGrid>
      <w:tr>
        <w:trPr>
          <w:jc w:val="center"/>
          <w:trHeight w:val="750"/>
        </w:trPr>
        <w:tc>
          <w:tcPr>
            <w:tcW w:w="2516" w:type="dxa"/>
            <w:vAlign w:val="center"/>
            <w:textDirection w:val="lrTb"/>
            <w:noWrap w:val="false"/>
          </w:tcPr>
          <w:p>
            <w:pPr>
              <w:ind w:firstLine="110"/>
              <w:jc w:val="left"/>
              <w:spacing w:before="14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单位名称</w:t>
            </w:r>
            <w:r/>
          </w:p>
        </w:tc>
        <w:tc>
          <w:tcPr>
            <w:tcW w:w="1850"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46" w:type="dxa"/>
            <w:vAlign w:val="center"/>
            <w:textDirection w:val="lrTb"/>
            <w:noWrap w:val="false"/>
          </w:tcPr>
          <w:p>
            <w:pPr>
              <w:ind w:firstLine="124"/>
              <w:jc w:val="left"/>
              <w:spacing w:before="14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统一社会信用代码</w:t>
            </w:r>
            <w:r/>
          </w:p>
        </w:tc>
        <w:tc>
          <w:tcPr>
            <w:tcW w:w="2866"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jc w:val="center"/>
          <w:trHeight w:val="686"/>
        </w:trPr>
        <w:tc>
          <w:tcPr>
            <w:tcW w:w="2516" w:type="dxa"/>
            <w:vAlign w:val="center"/>
            <w:textDirection w:val="lrTb"/>
            <w:noWrap w:val="false"/>
          </w:tcPr>
          <w:p>
            <w:pPr>
              <w:ind w:firstLine="109"/>
              <w:jc w:val="left"/>
              <w:spacing w:before="9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法定代表人</w:t>
            </w:r>
            <w:r/>
          </w:p>
        </w:tc>
        <w:tc>
          <w:tcPr>
            <w:tcW w:w="1850"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46" w:type="dxa"/>
            <w:vAlign w:val="center"/>
            <w:textDirection w:val="lrTb"/>
            <w:noWrap w:val="false"/>
          </w:tcPr>
          <w:p>
            <w:pPr>
              <w:ind w:firstLine="119"/>
              <w:jc w:val="left"/>
              <w:spacing w:before="9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联系人</w:t>
            </w:r>
            <w:r/>
          </w:p>
        </w:tc>
        <w:tc>
          <w:tcPr>
            <w:tcW w:w="2866"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jc w:val="center"/>
          <w:trHeight w:val="713"/>
        </w:trPr>
        <w:tc>
          <w:tcPr>
            <w:tcW w:w="2516" w:type="dxa"/>
            <w:vAlign w:val="center"/>
            <w:textDirection w:val="lrTb"/>
            <w:noWrap w:val="false"/>
          </w:tcPr>
          <w:p>
            <w:pPr>
              <w:ind w:firstLine="109"/>
              <w:jc w:val="left"/>
              <w:spacing w:before="9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联系地址</w:t>
            </w:r>
            <w:r/>
          </w:p>
        </w:tc>
        <w:tc>
          <w:tcPr>
            <w:tcW w:w="1850"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46" w:type="dxa"/>
            <w:vAlign w:val="center"/>
            <w:textDirection w:val="lrTb"/>
            <w:noWrap w:val="false"/>
          </w:tcPr>
          <w:p>
            <w:pPr>
              <w:ind w:firstLine="119"/>
              <w:jc w:val="left"/>
              <w:spacing w:before="9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联系电话</w:t>
            </w:r>
            <w:r/>
          </w:p>
        </w:tc>
        <w:tc>
          <w:tcPr>
            <w:tcW w:w="2866"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jc w:val="center"/>
          <w:trHeight w:val="827"/>
        </w:trPr>
        <w:tc>
          <w:tcPr>
            <w:tcW w:w="2516" w:type="dxa"/>
            <w:vAlign w:val="center"/>
            <w:textDirection w:val="lrTb"/>
            <w:noWrap w:val="false"/>
          </w:tcPr>
          <w:p>
            <w:pPr>
              <w:ind w:firstLine="109"/>
              <w:jc w:val="left"/>
              <w:spacing w:before="8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信用得分</w:t>
            </w:r>
            <w:r/>
          </w:p>
        </w:tc>
        <w:tc>
          <w:tcPr>
            <w:tcW w:w="1850"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46" w:type="dxa"/>
            <w:vAlign w:val="center"/>
            <w:textDirection w:val="lrTb"/>
            <w:noWrap w:val="false"/>
          </w:tcPr>
          <w:p>
            <w:pPr>
              <w:ind w:firstLine="121"/>
              <w:jc w:val="left"/>
              <w:spacing w:before="8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星级</w:t>
            </w:r>
            <w:r/>
          </w:p>
        </w:tc>
        <w:tc>
          <w:tcPr>
            <w:tcW w:w="2866"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jc w:val="center"/>
          <w:trHeight w:val="1710"/>
        </w:trPr>
        <w:tc>
          <w:tcPr>
            <w:tcW w:w="2516" w:type="dxa"/>
            <w:vAlign w:val="center"/>
            <w:textDirection w:val="lrTb"/>
            <w:noWrap w:val="false"/>
          </w:tcPr>
          <w:p>
            <w:pPr>
              <w:jc w:val="center"/>
              <w:spacing w:before="257"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1"/>
                <w:sz w:val="24"/>
                <w:szCs w:val="24"/>
                <w:highlight w:val="none"/>
              </w:rPr>
              <w:t xml:space="preserve">诚信档案记录情况</w:t>
            </w:r>
            <w:r/>
          </w:p>
        </w:tc>
        <w:tc>
          <w:tcPr>
            <w:gridSpan w:val="3"/>
            <w:tcW w:w="7162" w:type="dxa"/>
            <w:vAlign w:val="top"/>
            <w:textDirection w:val="lrTb"/>
            <w:noWrap w:val="false"/>
          </w:tcPr>
          <w:p>
            <w:pP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jc w:val="center"/>
          <w:trHeight w:val="4604"/>
        </w:trPr>
        <w:tc>
          <w:tcPr>
            <w:tcW w:w="2516" w:type="dxa"/>
            <w:vAlign w:val="center"/>
            <w:vMerge w:val="restart"/>
            <w:textDirection w:val="lrTb"/>
            <w:noWrap w:val="false"/>
          </w:tcPr>
          <w:p>
            <w:pPr>
              <w:jc w:val="center"/>
              <w:spacing w:before="243"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信用承诺</w:t>
            </w:r>
            <w:r/>
          </w:p>
        </w:tc>
        <w:tc>
          <w:tcPr>
            <w:gridSpan w:val="3"/>
            <w:tcW w:w="7162" w:type="dxa"/>
            <w:vAlign w:val="top"/>
            <w:textDirection w:val="lrTb"/>
            <w:noWrap w:val="false"/>
          </w:tcPr>
          <w:p>
            <w:pPr>
              <w:ind w:left="108" w:firstLine="475"/>
              <w:jc w:val="left"/>
              <w:spacing w:before="59" w:line="249"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4"/>
                <w:sz w:val="24"/>
                <w:szCs w:val="24"/>
                <w:highlight w:val="none"/>
              </w:rPr>
              <w:t xml:space="preserve">我公司自愿参加贵中心（公司）组织的本次采购活动，严格</w:t>
            </w:r>
            <w:r>
              <w:rPr>
                <w:rFonts w:hint="eastAsia" w:ascii="楷体" w:hAnsi="楷体" w:eastAsia="楷体" w:cs="楷体"/>
                <w:color w:val="000000"/>
                <w:sz w:val="24"/>
                <w:szCs w:val="24"/>
                <w:highlight w:val="none"/>
              </w:rPr>
              <w:t xml:space="preserve">遵守《中华人民共和国政府采购法》及相关法律法规，坚守公开、</w:t>
            </w:r>
            <w:r>
              <w:rPr>
                <w:rFonts w:hint="eastAsia" w:ascii="楷体" w:hAnsi="楷体" w:eastAsia="楷体" w:cs="楷体"/>
                <w:color w:val="000000"/>
                <w:spacing w:val="-1"/>
                <w:sz w:val="24"/>
                <w:szCs w:val="24"/>
                <w:highlight w:val="none"/>
              </w:rPr>
              <w:t xml:space="preserve">公平、公正和诚实信用的原则，依法诚信经营，无条件遵守本次政府采购活动的各项规定。我们郑重承诺，本公司符合《政府采</w:t>
            </w:r>
            <w:r>
              <w:rPr>
                <w:rFonts w:hint="eastAsia" w:ascii="楷体" w:hAnsi="楷体" w:eastAsia="楷体" w:cs="楷体"/>
                <w:color w:val="000000"/>
                <w:sz w:val="24"/>
                <w:szCs w:val="24"/>
                <w:highlight w:val="none"/>
              </w:rPr>
              <w:t xml:space="preserve">购法》第二十二条规定的条件，包括：具有独立承担民事责任的</w:t>
            </w:r>
            <w:r>
              <w:rPr>
                <w:rFonts w:hint="eastAsia" w:ascii="楷体" w:hAnsi="楷体" w:eastAsia="楷体" w:cs="楷体"/>
                <w:color w:val="000000"/>
                <w:spacing w:val="1"/>
                <w:sz w:val="24"/>
                <w:szCs w:val="24"/>
                <w:highlight w:val="none"/>
              </w:rPr>
              <w:t xml:space="preserve">能力；具有良好的商业信誉和健全的财务会计制度；有履行合同</w:t>
            </w:r>
            <w:r>
              <w:rPr>
                <w:rFonts w:hint="eastAsia" w:ascii="楷体" w:hAnsi="楷体" w:eastAsia="楷体" w:cs="楷体"/>
                <w:color w:val="000000"/>
                <w:spacing w:val="-1"/>
                <w:sz w:val="24"/>
                <w:szCs w:val="24"/>
                <w:highlight w:val="none"/>
              </w:rPr>
              <w:t xml:space="preserve">所必需的设备和专业技术能力；有依法缴纳税收和社会保障资金</w:t>
            </w:r>
            <w:r>
              <w:rPr>
                <w:rFonts w:hint="eastAsia" w:ascii="楷体" w:hAnsi="楷体" w:eastAsia="楷体" w:cs="楷体"/>
                <w:color w:val="000000"/>
                <w:sz w:val="24"/>
                <w:szCs w:val="24"/>
                <w:highlight w:val="none"/>
              </w:rPr>
              <w:t xml:space="preserve">的良好记录；参加政府采购活动前三年内，在经营活动中没有重</w:t>
            </w:r>
            <w:r>
              <w:rPr>
                <w:rFonts w:hint="eastAsia" w:ascii="楷体" w:hAnsi="楷体" w:eastAsia="楷体" w:cs="楷体"/>
                <w:color w:val="000000"/>
                <w:spacing w:val="4"/>
                <w:sz w:val="24"/>
                <w:szCs w:val="24"/>
                <w:highlight w:val="none"/>
              </w:rPr>
              <w:t xml:space="preserve">大违法记录；符合法律、行政法规和采购文件规定的其他条件。</w:t>
            </w:r>
            <w:r>
              <w:rPr>
                <w:rFonts w:hint="eastAsia" w:ascii="楷体" w:hAnsi="楷体" w:eastAsia="楷体" w:cs="楷体"/>
                <w:color w:val="000000"/>
                <w:spacing w:val="-1"/>
                <w:sz w:val="24"/>
                <w:szCs w:val="24"/>
                <w:highlight w:val="none"/>
              </w:rPr>
              <w:t xml:space="preserve">如有弄虚作假或其他违法违规行为，愿承担一切法律责任，接受</w:t>
            </w:r>
            <w:r>
              <w:rPr>
                <w:rFonts w:hint="eastAsia" w:ascii="楷体" w:hAnsi="楷体" w:eastAsia="楷体" w:cs="楷体"/>
                <w:color w:val="000000"/>
                <w:spacing w:val="4"/>
                <w:sz w:val="24"/>
                <w:szCs w:val="24"/>
                <w:highlight w:val="none"/>
              </w:rPr>
              <w:t xml:space="preserve">各级政府采购监管部门和有权机关的审查和处罚。</w:t>
            </w:r>
            <w:r/>
          </w:p>
        </w:tc>
      </w:tr>
      <w:tr>
        <w:trPr>
          <w:jc w:val="center"/>
          <w:trHeight w:val="1945"/>
        </w:trPr>
        <w:tc>
          <w:tcPr>
            <w:tcW w:w="2516" w:type="dxa"/>
            <w:vAlign w:val="top"/>
            <w:vMerge w:val="continue"/>
            <w:textDirection w:val="lrTb"/>
            <w:noWrap w:val="false"/>
          </w:tcPr>
          <w:p>
            <w:pP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gridSpan w:val="3"/>
            <w:tcW w:w="7162" w:type="dxa"/>
            <w:vAlign w:val="top"/>
            <w:textDirection w:val="lrTb"/>
            <w:noWrap w:val="false"/>
          </w:tcPr>
          <w:p>
            <w:pP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ind w:firstLine="2828"/>
              <w:spacing w:before="312" w:line="440" w:lineRule="exact"/>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9"/>
                <w:position w:val="15"/>
                <w:sz w:val="24"/>
                <w:szCs w:val="24"/>
                <w:highlight w:val="none"/>
              </w:rPr>
              <w:t xml:space="preserve">供应商名称（盖章）：</w:t>
            </w:r>
            <w:r/>
          </w:p>
          <w:p>
            <w:pPr>
              <w:ind w:firstLine="2829"/>
              <w:spacing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8"/>
                <w:sz w:val="24"/>
                <w:szCs w:val="24"/>
                <w:highlight w:val="none"/>
              </w:rPr>
              <w:t xml:space="preserve">法定代表人（签字）：</w:t>
            </w:r>
            <w:r/>
          </w:p>
          <w:p>
            <w:pPr>
              <w:ind w:firstLine="2856"/>
              <w:spacing w:before="165"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1"/>
                <w:sz w:val="24"/>
                <w:szCs w:val="24"/>
                <w:highlight w:val="none"/>
              </w:rPr>
              <w:t xml:space="preserve">二</w:t>
            </w:r>
            <w:r>
              <w:rPr>
                <w:rFonts w:hint="eastAsia" w:ascii="楷体" w:hAnsi="楷体" w:eastAsia="楷体" w:cs="楷体"/>
                <w:color w:val="000000"/>
                <w:spacing w:val="4"/>
                <w:sz w:val="24"/>
                <w:szCs w:val="24"/>
                <w:highlight w:val="none"/>
              </w:rPr>
              <w:t xml:space="preserve">○</w:t>
            </w:r>
            <w:r>
              <w:rPr>
                <w:rFonts w:hint="eastAsia" w:ascii="楷体" w:hAnsi="楷体" w:eastAsia="楷体" w:cs="楷体"/>
                <w:color w:val="000000"/>
                <w:spacing w:val="7"/>
                <w:sz w:val="24"/>
                <w:szCs w:val="24"/>
                <w:highlight w:val="none"/>
              </w:rPr>
              <w:t xml:space="preserve"> </w:t>
            </w:r>
            <w:r>
              <w:rPr>
                <w:rFonts w:hint="eastAsia" w:ascii="楷体" w:hAnsi="楷体" w:eastAsia="楷体" w:cs="楷体"/>
                <w:color w:val="000000"/>
                <w:spacing w:val="7"/>
                <w:sz w:val="24"/>
                <w:szCs w:val="24"/>
                <w:highlight w:val="none"/>
                <w:lang w:val="en-US"/>
              </w:rPr>
              <w:t xml:space="preserve"> </w:t>
            </w:r>
            <w:r>
              <w:rPr>
                <w:rFonts w:hint="eastAsia" w:ascii="楷体" w:hAnsi="楷体" w:eastAsia="楷体" w:cs="楷体"/>
                <w:color w:val="000000"/>
                <w:spacing w:val="7"/>
                <w:sz w:val="24"/>
                <w:szCs w:val="24"/>
                <w:highlight w:val="none"/>
              </w:rPr>
              <w:t xml:space="preserve"> </w:t>
            </w:r>
            <w:r>
              <w:rPr>
                <w:rFonts w:hint="eastAsia" w:ascii="楷体" w:hAnsi="楷体" w:eastAsia="楷体" w:cs="楷体"/>
                <w:color w:val="000000"/>
                <w:spacing w:val="-1"/>
                <w:sz w:val="24"/>
                <w:szCs w:val="24"/>
                <w:highlight w:val="none"/>
              </w:rPr>
              <w:t xml:space="preserve">年</w:t>
            </w:r>
            <w:r>
              <w:rPr>
                <w:rFonts w:hint="eastAsia" w:ascii="楷体" w:hAnsi="楷体" w:eastAsia="楷体" w:cs="楷体"/>
                <w:color w:val="000000"/>
                <w:spacing w:val="14"/>
                <w:sz w:val="24"/>
                <w:szCs w:val="24"/>
                <w:highlight w:val="none"/>
              </w:rPr>
              <w:t xml:space="preserve">   </w:t>
            </w:r>
            <w:r>
              <w:rPr>
                <w:rFonts w:hint="eastAsia" w:ascii="楷体" w:hAnsi="楷体" w:eastAsia="楷体" w:cs="楷体"/>
                <w:color w:val="000000"/>
                <w:spacing w:val="-1"/>
                <w:sz w:val="24"/>
                <w:szCs w:val="24"/>
                <w:highlight w:val="none"/>
              </w:rPr>
              <w:t xml:space="preserve">月</w:t>
            </w:r>
            <w:r>
              <w:rPr>
                <w:rFonts w:hint="eastAsia" w:ascii="楷体" w:hAnsi="楷体" w:eastAsia="楷体" w:cs="楷体"/>
                <w:color w:val="000000"/>
                <w:spacing w:val="-1"/>
                <w:sz w:val="24"/>
                <w:szCs w:val="24"/>
                <w:highlight w:val="none"/>
                <w:lang w:val="en-US"/>
              </w:rPr>
              <w:t xml:space="preserve">    </w:t>
            </w:r>
            <w:r>
              <w:rPr>
                <w:rFonts w:hint="eastAsia" w:ascii="楷体" w:hAnsi="楷体" w:eastAsia="楷体" w:cs="楷体"/>
                <w:color w:val="000000"/>
                <w:spacing w:val="-1"/>
                <w:sz w:val="24"/>
                <w:szCs w:val="24"/>
                <w:highlight w:val="none"/>
              </w:rPr>
              <w:t xml:space="preserve">日</w:t>
            </w:r>
            <w:r/>
          </w:p>
        </w:tc>
      </w:tr>
    </w:tbl>
    <w:p>
      <w:pPr>
        <w:spacing w:line="420" w:lineRule="auto"/>
        <w:shd w:val="clear" w:color="auto" w:fill="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jc w:val="center"/>
        <w:spacing w:line="420" w:lineRule="auto"/>
        <w:shd w:val="clear" w:color="auto" w:fill="auto"/>
        <w:rPr>
          <w:rFonts w:hint="eastAsia" w:ascii="黑体" w:hAnsi="黑体" w:eastAsia="黑体" w:cs="黑体"/>
          <w:color w:val="000000"/>
          <w:sz w:val="24"/>
          <w:szCs w:val="24"/>
          <w:highlight w:val="none"/>
        </w:rPr>
        <w:outlineLvl w:val="1"/>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lang w:val="en-US"/>
        </w:rPr>
        <w:t xml:space="preserve">四、</w:t>
      </w:r>
      <w:r>
        <w:rPr>
          <w:rFonts w:hint="eastAsia" w:ascii="黑体" w:hAnsi="黑体" w:eastAsia="黑体" w:cs="黑体"/>
          <w:color w:val="000000"/>
          <w:sz w:val="24"/>
          <w:szCs w:val="24"/>
          <w:highlight w:val="none"/>
        </w:rPr>
        <w:t xml:space="preserve">“不存在与参加本项目的其他供应商单位负责人为同一人或者存在直接控股、管理关系”的承诺函</w:t>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42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lang w:eastAsia="zh-CN"/>
        </w:rPr>
        <w:t xml:space="preserve">南京市食品药品监督检验院</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（项目名称）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编号）招标公告，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特此承诺！</w:t>
      </w:r>
      <w:r/>
    </w:p>
    <w:p>
      <w:pPr>
        <w:ind w:firstLine="411"/>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p>
    <w:p>
      <w:pPr>
        <w:ind w:firstLine="411"/>
        <w:jc w:val="left"/>
        <w:spacing w:line="42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spacing w:line="360" w:lineRule="auto"/>
        <w:shd w:val="clear" w:color="auto" w:fill="auto"/>
        <w:rPr>
          <w:rFonts w:hint="eastAsia" w:ascii="仿宋" w:hAnsi="仿宋" w:eastAsia="仿宋" w:cs="仿宋"/>
          <w:b/>
          <w:color w:val="000000"/>
          <w:sz w:val="24"/>
          <w:szCs w:val="24"/>
          <w:highlight w:val="none"/>
        </w:rPr>
      </w:pPr>
      <w:r>
        <w:rPr>
          <w:rFonts w:hint="eastAsia" w:ascii="宋体" w:hAnsi="宋体" w:eastAsia="宋体"/>
          <w:b/>
          <w:color w:val="000000"/>
          <w:sz w:val="21"/>
          <w:szCs w:val="21"/>
          <w:highlight w:val="none"/>
        </w:rPr>
        <w:br w:type="page" w:clear="all"/>
      </w:r>
      <w:r>
        <w:rPr>
          <w:rFonts w:hint="eastAsia" w:ascii="仿宋" w:hAnsi="仿宋" w:eastAsia="仿宋" w:cs="仿宋"/>
          <w:b/>
          <w:color w:val="000000"/>
          <w:sz w:val="24"/>
          <w:szCs w:val="24"/>
          <w:highlight w:val="none"/>
        </w:rPr>
        <w:t xml:space="preserve">单位负责人、公司控股关系及公司管理关系释义：</w:t>
      </w:r>
      <w:r/>
    </w:p>
    <w:p>
      <w:pPr>
        <w:ind w:firstLine="482"/>
        <w:spacing w:line="360" w:lineRule="auto"/>
        <w:shd w:val="clear" w:color="auto" w:fill="auto"/>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ind w:firstLine="482"/>
        <w:spacing w:line="360" w:lineRule="auto"/>
        <w:shd w:val="clear" w:color="auto" w:fill="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①单位负责人：</w:t>
      </w:r>
      <w:r>
        <w:rPr>
          <w:rFonts w:hint="eastAsia" w:ascii="仿宋" w:hAnsi="仿宋" w:eastAsia="仿宋" w:cs="仿宋"/>
          <w:color w:val="000000"/>
          <w:sz w:val="24"/>
          <w:szCs w:val="24"/>
          <w:highlight w:val="none"/>
          <w:lang w:val="en-US"/>
        </w:rPr>
        <w:t xml:space="preserve">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单位法定代表人</w:t>
      </w:r>
      <w:r>
        <w:rPr>
          <w:rFonts w:hint="eastAsia" w:ascii="仿宋" w:hAnsi="仿宋" w:eastAsia="仿宋" w:cs="仿宋"/>
          <w:color w:val="000000"/>
          <w:sz w:val="24"/>
          <w:szCs w:val="24"/>
          <w:highlight w:val="none"/>
          <w:lang w:val="en-US"/>
        </w:rPr>
        <w:t xml:space="preserve">或者</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法律、行政法规规定代表单位行使职权的主要负责人。</w:t>
      </w:r>
      <w:r/>
    </w:p>
    <w:p>
      <w:pPr>
        <w:ind w:firstLine="482"/>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A：所谓法定代表人：</w:t>
      </w:r>
      <w:r>
        <w:rPr>
          <w:rFonts w:hint="eastAsia" w:ascii="仿宋" w:hAnsi="仿宋" w:eastAsia="仿宋" w:cs="仿宋"/>
          <w:color w:val="000000"/>
          <w:sz w:val="24"/>
          <w:szCs w:val="24"/>
          <w:highlight w:val="none"/>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B：所谓法律、行政法规规定代表单位行使职权的主要负责人：</w:t>
      </w:r>
      <w:r>
        <w:rPr>
          <w:rFonts w:hint="eastAsia" w:ascii="仿宋" w:hAnsi="仿宋" w:eastAsia="仿宋" w:cs="仿宋"/>
          <w:color w:val="000000"/>
          <w:sz w:val="24"/>
          <w:szCs w:val="24"/>
          <w:highlight w:val="none"/>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ind w:firstLine="560"/>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②控股关系：</w:t>
      </w:r>
      <w:r>
        <w:rPr>
          <w:rFonts w:hint="eastAsia" w:ascii="仿宋" w:hAnsi="仿宋" w:eastAsia="仿宋" w:cs="仿宋"/>
          <w:color w:val="000000"/>
          <w:sz w:val="24"/>
          <w:szCs w:val="24"/>
          <w:highlight w:val="none"/>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highlight w:val="none"/>
          <w:lang w:val="en-US"/>
        </w:rPr>
        <w:t xml:space="preserve">（二）控股股东，是指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highlight w:val="none"/>
          <w:lang w:val="en-US"/>
        </w:rPr>
        <w:t xml:space="preserve">”。实践中，一般对A所述情形称为绝对控股，B所述情形称为相对控股，政府采购法实施条例所称“控股”包括绝对控股和相对控股。</w:t>
      </w:r>
      <w:r/>
    </w:p>
    <w:p>
      <w:pPr>
        <w:ind w:firstLine="560"/>
        <w:spacing w:line="360" w:lineRule="auto"/>
        <w:shd w:val="clear" w:color="auto" w:fill="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r>
      <w:r/>
    </w:p>
    <w:p>
      <w:pPr>
        <w:ind w:firstLine="560"/>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③管理关系：</w:t>
      </w:r>
      <w:r>
        <w:rPr>
          <w:rFonts w:hint="eastAsia" w:ascii="仿宋" w:hAnsi="仿宋" w:eastAsia="仿宋" w:cs="仿宋"/>
          <w:color w:val="000000"/>
          <w:sz w:val="24"/>
          <w:szCs w:val="24"/>
          <w:highlight w:val="none"/>
          <w:lang w:val="en-US"/>
        </w:rPr>
        <w:t xml:space="preserve">政府采购法实施条例所谓管理关系是指不具有出资持股关系的其他单位之间存在的管理与被管理关系，如一些上下级关系的事业单位和团体组织。</w:t>
      </w:r>
      <w:r/>
    </w:p>
    <w:p>
      <w:pPr>
        <w:jc w:val="center"/>
        <w:spacing w:line="420" w:lineRule="auto"/>
        <w:shd w:val="clear" w:color="auto" w:fill="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jc w:val="center"/>
        <w:spacing w:line="360" w:lineRule="auto"/>
        <w:shd w:val="clear" w:color="auto" w:fill="auto"/>
        <w:widowControl/>
        <w:rPr>
          <w:rFonts w:hint="eastAsia" w:ascii="黑体" w:hAnsi="黑体" w:eastAsia="黑体" w:cs="黑体"/>
          <w:b/>
          <w:color w:val="000000"/>
          <w:sz w:val="24"/>
          <w:szCs w:val="24"/>
          <w:highlight w:val="none"/>
        </w:rPr>
        <w:outlineLvl w:val="1"/>
      </w:pPr>
      <w:r>
        <w:rPr>
          <w:rFonts w:hint="eastAsia" w:ascii="黑体" w:hAnsi="黑体" w:eastAsia="黑体" w:cs="黑体"/>
          <w:color w:val="000000"/>
          <w:sz w:val="24"/>
          <w:szCs w:val="24"/>
          <w:highlight w:val="none"/>
        </w:rPr>
        <w:br w:type="page" w:clear="all"/>
      </w:r>
      <w:r>
        <w:rPr>
          <w:rFonts w:hint="eastAsia" w:ascii="黑体" w:hAnsi="黑体" w:eastAsia="黑体" w:cs="黑体"/>
          <w:color w:val="000000"/>
          <w:sz w:val="24"/>
          <w:szCs w:val="24"/>
          <w:highlight w:val="none"/>
          <w:lang w:val="en-US"/>
        </w:rPr>
        <w:t xml:space="preserve">五、第一章招标公告中2.1《中华人民共和国政府采购法》第二十二条规定的资格条件证明文件</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（一）具有独立承担民事责任的能力：</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2、如供应商是事业单位的，应提供有效的“事业单位法人证书”；</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3、如供应商是非企业专业服务机构的，应提供有效的执业许可证等证明文件；</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4、如供应商是个体工商户的，应提供有效的“个体工商户营业执照”；</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5、如供应商是自然人的，应提供有效的自然人身份证明。</w:t>
      </w:r>
      <w:r/>
    </w:p>
    <w:p>
      <w:pPr>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（二）具有良好的商业信誉和健全的财务会计制度：</w:t>
      </w:r>
      <w:r/>
    </w:p>
    <w:p>
      <w:pPr>
        <w:ind w:firstLine="48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1、健全的财务会计制度指供应商能够严格执行现行的财务会计管理制度，财务管理制度清晰，能够按规定真实、全面地反映企业的生产经营活动；</w:t>
      </w:r>
      <w:r/>
    </w:p>
    <w:p>
      <w:pPr>
        <w:ind w:firstLine="48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2、依法作出的财务状况报告包括经审计的财务报告或银行出具的资信证明或其他会计报表等，能够清晰反映供应商的商业信誉情况；</w:t>
      </w:r>
      <w:r/>
    </w:p>
    <w:p>
      <w:pPr>
        <w:ind w:firstLine="48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3、供应商成立不满一个月或供应商提供金融机构或担保机构出具的保函则可以不需要提供其他财务状况报告。</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（三）具有履行合同所必需的设备和专业技术能力：</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1、根据项目需求提供履行合同所必需的设备和专业技术能力的证明材料；</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可提供与项目实施有关的相关设备购置或租赁票据，或者相关服务人员用工合同，或者具有生产、代理所投设备的能力，也可以提供具有履行合同所必需的设备和专业技术能力承诺函（格式自拟并加盖公章）。</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（四）有依法缴纳税收和社会保障资金的良好记录：</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1、缴纳税收证明材料：供应商参加政府采购活动前六个月内（至少一个月）缴纳增值税或营业税或企业所得税凭据；</w:t>
      </w:r>
      <w:r/>
    </w:p>
    <w:p>
      <w:pP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2、缴纳社会保障资金证明材料：供应商参加政府采购活动前六个月内（至少一个月）缴纳社会保险的凭据（专用收据或社会保障缴纳清单）；</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3、依法免税或不需要缴纳社会保障资金的供应商应提供相关证明材料。</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（五）参加政府采购活动前三年内，在经营活动中没有重大违法记录：</w:t>
      </w:r>
      <w:r/>
    </w:p>
    <w:p>
      <w:pPr>
        <w:ind w:firstLine="420"/>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提供参加本次政府采购活动前3年内在经营活动中没有重大违法记录的书面声明。</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无重大违法记录声明格式：</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lang w:eastAsia="zh-CN"/>
        </w:rPr>
        <w:t xml:space="preserve">南京市食品药品监督检验院</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我单位</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（供应商名称）郑重声明：</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参加政府采购活动前3年内在经营活动中</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（在下划线上如实填写：有或没有）重大违法记录。</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声明人：（</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年     月    日</w:t>
      </w:r>
      <w:r/>
    </w:p>
    <w:p>
      <w:pP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（六）法律、行政法规规定的其他条件：</w:t>
      </w:r>
      <w:r/>
    </w:p>
    <w:p>
      <w:pPr>
        <w:ind w:firstLine="42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注：供应商应当按照招标文件规定的要求提供相关证明材料，如未作要求，可不予提供。</w:t>
      </w:r>
      <w:r/>
    </w:p>
    <w:p>
      <w:pP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jc w:val="center"/>
        <w:spacing w:line="360" w:lineRule="auto"/>
        <w:shd w:val="clear" w:color="auto" w:fill="auto"/>
        <w:widowControl/>
        <w:rPr>
          <w:rFonts w:hint="eastAsia" w:ascii="黑体" w:hAnsi="黑体" w:eastAsia="黑体" w:cs="黑体"/>
          <w:color w:val="000000"/>
          <w:sz w:val="21"/>
          <w:szCs w:val="21"/>
          <w:highlight w:val="none"/>
          <w:lang w:val="en-US"/>
        </w:rPr>
      </w:pPr>
      <w:r>
        <w:rPr>
          <w:rFonts w:hint="eastAsia" w:ascii="黑体" w:hAnsi="黑体" w:eastAsia="黑体" w:cs="黑体"/>
          <w:color w:val="000000"/>
          <w:sz w:val="21"/>
          <w:szCs w:val="21"/>
          <w:highlight w:val="none"/>
          <w:lang w:val="en-US"/>
        </w:rPr>
      </w:r>
      <w:r/>
    </w:p>
    <w:p>
      <w:pPr>
        <w:jc w:val="center"/>
        <w:spacing w:line="360" w:lineRule="auto"/>
        <w:shd w:val="clear" w:color="auto" w:fill="auto"/>
        <w:widowControl/>
        <w:rPr>
          <w:rFonts w:hint="eastAsia" w:ascii="黑体" w:hAnsi="黑体" w:eastAsia="黑体" w:cs="黑体"/>
          <w:color w:val="000000"/>
          <w:sz w:val="24"/>
          <w:szCs w:val="24"/>
          <w:highlight w:val="none"/>
          <w:lang w:val="en-US"/>
        </w:rPr>
        <w:outlineLvl w:val="1"/>
      </w:pPr>
      <w:r>
        <w:rPr>
          <w:rFonts w:hint="eastAsia" w:ascii="黑体" w:hAnsi="黑体" w:eastAsia="黑体" w:cs="黑体"/>
          <w:color w:val="000000"/>
          <w:sz w:val="24"/>
          <w:szCs w:val="24"/>
          <w:highlight w:val="none"/>
          <w:lang w:val="en-US"/>
        </w:rPr>
        <w:t xml:space="preserve">六、第一章招标公告中2.2落实政府采购政策需满足的资格要求的证明文件</w:t>
      </w:r>
      <w:r/>
    </w:p>
    <w:p>
      <w:pPr>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注：供应商应当按照招标文件规定的要求提供相关证明材料，如未作要求，可不予提供。</w:t>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spacing w:line="360" w:lineRule="auto"/>
        <w:shd w:val="clear" w:color="auto" w:fill="auto"/>
        <w:widowControl/>
        <w:rPr>
          <w:rFonts w:hint="eastAsia" w:ascii="黑体" w:hAnsi="黑体" w:eastAsia="黑体" w:cs="黑体"/>
          <w:color w:val="000000"/>
          <w:sz w:val="24"/>
          <w:szCs w:val="24"/>
          <w:highlight w:val="none"/>
          <w:lang w:val="en-US"/>
        </w:rPr>
        <w:outlineLvl w:val="1"/>
      </w:pPr>
      <w:r>
        <w:rPr>
          <w:rFonts w:hint="eastAsia" w:ascii="黑体" w:hAnsi="黑体" w:eastAsia="黑体" w:cs="黑体"/>
          <w:color w:val="000000"/>
          <w:sz w:val="24"/>
          <w:szCs w:val="24"/>
          <w:highlight w:val="none"/>
          <w:lang w:val="en-US"/>
        </w:rPr>
        <w:t xml:space="preserve">七、第一章招标公告中2.3采购人根据采购项目的特殊要求规定的特定条件的证明文件</w:t>
      </w:r>
      <w:r/>
    </w:p>
    <w:p>
      <w:pPr>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注：供应商应当按照招标文件规定的要求提供相关证明材料，如未作要求，可不予提供。</w:t>
      </w:r>
      <w:r/>
    </w:p>
    <w:p>
      <w:pPr>
        <w:spacing w:line="360" w:lineRule="auto"/>
        <w:shd w:val="clear" w:color="auto" w:fill="auto"/>
        <w:widowControl/>
        <w:rPr>
          <w:rFonts w:hint="eastAsia" w:ascii="黑体" w:hAnsi="黑体" w:eastAsia="黑体" w:cs="黑体"/>
          <w:color w:val="000000"/>
          <w:sz w:val="21"/>
          <w:szCs w:val="21"/>
          <w:highlight w:val="none"/>
          <w:lang w:val="en-US"/>
        </w:rPr>
      </w:pPr>
      <w:r>
        <w:rPr>
          <w:rFonts w:hint="eastAsia" w:ascii="黑体" w:hAnsi="黑体" w:eastAsia="黑体" w:cs="黑体"/>
          <w:color w:val="000000"/>
          <w:sz w:val="21"/>
          <w:szCs w:val="21"/>
          <w:highlight w:val="none"/>
          <w:lang w:val="en-US"/>
        </w:rPr>
      </w:r>
      <w:r/>
    </w:p>
    <w:p>
      <w:pPr>
        <w:jc w:val="center"/>
        <w:spacing w:line="360" w:lineRule="auto"/>
        <w:shd w:val="clear" w:color="auto" w:fill="auto"/>
        <w:widowControl/>
        <w:rPr>
          <w:rFonts w:hint="eastAsia" w:ascii="黑体" w:hAnsi="黑体" w:eastAsia="黑体" w:cs="黑体"/>
          <w:color w:val="000000"/>
          <w:sz w:val="24"/>
          <w:szCs w:val="24"/>
          <w:highlight w:val="none"/>
          <w:lang w:val="en-US"/>
        </w:rPr>
        <w:outlineLvl w:val="1"/>
      </w:pPr>
      <w:r>
        <w:rPr>
          <w:rFonts w:hint="eastAsia" w:ascii="黑体" w:hAnsi="黑体" w:eastAsia="黑体" w:cs="黑体"/>
          <w:color w:val="000000"/>
          <w:sz w:val="24"/>
          <w:szCs w:val="24"/>
          <w:highlight w:val="none"/>
          <w:lang w:val="en-US"/>
        </w:rPr>
        <w:t xml:space="preserve">八、供应商认为需要提供的其他资格证明文件和商务资料</w:t>
      </w:r>
      <w:r/>
    </w:p>
    <w:p>
      <w:pPr>
        <w:ind w:firstLine="420"/>
        <w:jc w:val="left"/>
        <w:spacing w:line="360" w:lineRule="auto"/>
        <w:shd w:val="clear" w:color="auto" w:fill="auto"/>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Cs/>
          <w:color w:val="000000"/>
          <w:sz w:val="21"/>
          <w:szCs w:val="21"/>
          <w:highlight w:val="none"/>
          <w:lang w:val="en-US"/>
        </w:rPr>
        <w:t xml:space="preserve">注：各供应商根据企业自身实际情况可提供其他资格证明文件和商务资料，格式自拟。</w:t>
      </w:r>
      <w:r/>
    </w:p>
    <w:p>
      <w:pPr>
        <w:jc w:val="center"/>
        <w:spacing w:line="360" w:lineRule="auto"/>
        <w:shd w:val="clear" w:color="auto" w:fill="auto"/>
        <w:widowControl/>
        <w:rPr>
          <w:rFonts w:hint="eastAsia" w:ascii="黑体" w:hAnsi="黑体" w:eastAsia="黑体" w:cs="黑体"/>
          <w:color w:val="000000"/>
          <w:sz w:val="24"/>
          <w:szCs w:val="24"/>
          <w:highlight w:val="none"/>
          <w:lang w:val="en-US"/>
        </w:rPr>
        <w:outlineLvl w:val="1"/>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lang w:val="en-US"/>
        </w:rPr>
        <w:t xml:space="preserve">九、《商务条款偏离表》格式</w:t>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spacing w:line="360" w:lineRule="auto"/>
        <w:shd w:val="clear" w:color="auto" w:fill="auto"/>
        <w:widowControl/>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商务条款偏离表</w:t>
      </w:r>
      <w:r/>
    </w:p>
    <w:tbl>
      <w:tblPr>
        <w:tblStyle w:val="783"/>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jc w:val="center"/>
          <w:trHeight w:val="698"/>
          <w:tblHeader/>
        </w:trPr>
        <w:tc>
          <w:tcPr>
            <w:gridSpan w:val="3"/>
            <w:tcW w:w="6264" w:type="dxa"/>
            <w:vAlign w:val="center"/>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2"/>
            <w:tcW w:w="2952" w:type="dxa"/>
            <w:vAlign w:val="center"/>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jc w:val="center"/>
          <w:trHeight w:val="668"/>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招标文件条目号</w:t>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招标文件要求的商务条款</w:t>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投标响应</w:t>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偏离</w:t>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p>
    <w:p>
      <w:pPr>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如果行数不够，请自行增加。</w:t>
      </w:r>
      <w:r/>
    </w:p>
    <w:p>
      <w:pPr>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firstLine="420"/>
        <w:jc w:val="left"/>
        <w:spacing w:line="480" w:lineRule="auto"/>
        <w:shd w:val="clear" w:color="auto" w:fill="auto"/>
        <w:widowControl/>
        <w:rPr>
          <w:rFonts w:hint="eastAsia" w:ascii="宋体" w:hAnsi="宋体" w:eastAsia="宋体"/>
          <w:b/>
          <w:color w:val="000000"/>
          <w:sz w:val="24"/>
          <w:szCs w:val="24"/>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加盖电子公章</w:t>
      </w:r>
      <w:r>
        <w:rPr>
          <w:rFonts w:hint="eastAsia" w:ascii="宋体" w:hAnsi="宋体" w:eastAsia="宋体"/>
          <w:color w:val="000000"/>
          <w:sz w:val="21"/>
          <w:szCs w:val="21"/>
          <w:highlight w:val="none"/>
        </w:rPr>
        <w:t xml:space="preserve">）</w:t>
      </w:r>
      <w:r/>
    </w:p>
    <w:p>
      <w:pPr>
        <w:spacing w:line="420" w:lineRule="auto"/>
        <w:shd w:val="clear" w:color="auto" w:fill="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br w:type="page" w:clear="all"/>
      </w:r>
      <w:r/>
    </w:p>
    <w:p>
      <w:pPr>
        <w:pStyle w:val="1044"/>
        <w:ind w:left="0"/>
        <w:jc w:val="right"/>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jc w:val="center"/>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jc w:val="center"/>
        <w:spacing w:line="360" w:lineRule="auto"/>
        <w:shd w:val="clear" w:color="auto" w:fill="auto"/>
        <w:rPr>
          <w:rFonts w:hint="eastAsia" w:ascii="黑体" w:hAnsi="宋体" w:eastAsia="黑体"/>
          <w:bCs/>
          <w:color w:val="000000"/>
          <w:sz w:val="32"/>
          <w:szCs w:val="32"/>
          <w:highlight w:val="none"/>
          <w:lang w:eastAsia="zh-CN"/>
        </w:rPr>
      </w:pPr>
      <w:r/>
      <w:bookmarkStart w:id="45" w:name="_GoBack"/>
      <w:r/>
      <w:bookmarkEnd w:id="45"/>
      <w:r>
        <w:rPr>
          <w:rFonts w:hint="eastAsia" w:ascii="黑体" w:hAnsi="宋体" w:eastAsia="黑体"/>
          <w:bCs/>
          <w:color w:val="000000"/>
          <w:sz w:val="32"/>
          <w:szCs w:val="32"/>
          <w:highlight w:val="none"/>
          <w:lang w:eastAsia="zh-CN"/>
        </w:rPr>
        <w:t xml:space="preserve">南京市食品药品监督检验院仪器配件耗材采购</w:t>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hd w:val="clear" w:color="auto" w:fill="auto"/>
        <w:rPr>
          <w:rFonts w:ascii="黑体" w:hAnsi="宋体" w:eastAsia="黑体"/>
          <w:color w:val="000000"/>
          <w:sz w:val="72"/>
          <w:szCs w:val="72"/>
          <w:highlight w:val="none"/>
        </w:rPr>
      </w:pPr>
      <w:r>
        <w:rPr>
          <w:rFonts w:hint="eastAsia" w:ascii="黑体" w:hAnsi="宋体" w:eastAsia="黑体"/>
          <w:color w:val="000000"/>
          <w:sz w:val="72"/>
          <w:szCs w:val="72"/>
          <w:highlight w:val="none"/>
        </w:rPr>
        <w:t xml:space="preserve">技术部分</w:t>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项目编号：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w:t>
      </w:r>
      <w:r>
        <w:rPr>
          <w:rFonts w:hint="eastAsia" w:ascii="黑体" w:hAnsi="宋体" w:eastAsia="黑体"/>
          <w:color w:val="000000"/>
          <w:sz w:val="32"/>
          <w:szCs w:val="32"/>
          <w:highlight w:val="none"/>
          <w:lang w:val="en-US" w:eastAsia="zh-CN"/>
        </w:rPr>
        <w:t xml:space="preserve">加盖电子</w:t>
      </w:r>
      <w:r>
        <w:rPr>
          <w:rFonts w:hint="eastAsia" w:ascii="黑体" w:hAnsi="宋体" w:eastAsia="黑体"/>
          <w:color w:val="000000"/>
          <w:sz w:val="32"/>
          <w:szCs w:val="32"/>
          <w:highlight w:val="none"/>
        </w:rPr>
        <w:t xml:space="preserve">公章）</w:t>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jc w:val="center"/>
        <w:spacing w:before="100" w:beforeAutospacing="1" w:after="100" w:afterAutospacing="1"/>
        <w:shd w:val="clear" w:color="auto" w:fill="auto"/>
        <w:rPr>
          <w:rFonts w:ascii="黑体" w:eastAsia="黑体"/>
          <w:color w:val="000000"/>
          <w:sz w:val="32"/>
          <w:szCs w:val="32"/>
          <w:highlight w:val="non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rPr>
          <w:rFonts w:hint="eastAsia" w:ascii="宋体" w:hAnsi="宋体" w:eastAsia="宋体"/>
          <w:b/>
          <w:color w:val="000000"/>
          <w:sz w:val="24"/>
          <w:szCs w:val="24"/>
          <w:highlight w:val="none"/>
        </w:rPr>
        <w:br w:type="page" w:clear="all"/>
      </w:r>
      <w:r>
        <w:rPr>
          <w:rFonts w:hint="eastAsia" w:ascii="黑体" w:eastAsia="黑体"/>
          <w:color w:val="000000"/>
          <w:sz w:val="32"/>
          <w:szCs w:val="32"/>
          <w:highlight w:val="none"/>
        </w:rPr>
        <w:t xml:space="preserve">目  录</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一、货物品牌、型号、材质、主要技术（服务）指标和性能、制造商、生产企业名称等详细说明…X</w:t>
      </w:r>
      <w:r/>
    </w:p>
    <w:p>
      <w:pPr>
        <w:jc w:val="left"/>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二、《投标项目主要产品一览表》…………………………………………………………………………X</w:t>
      </w:r>
      <w:r/>
    </w:p>
    <w:p>
      <w:pPr>
        <w:jc w:val="left"/>
        <w:keepLines w:val="0"/>
        <w:keepNext w:val="0"/>
        <w:pageBreakBefore w:val="0"/>
        <w:spacing w:line="360" w:lineRule="auto"/>
        <w:shd w:val="clear" w:color="auto" w:fill="auto"/>
        <w:widowControl w:val="off"/>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三、《供货一览表》</w:t>
      </w:r>
      <w:r>
        <w:rPr>
          <w:rFonts w:hint="eastAsia" w:ascii="宋体" w:hAnsi="宋体" w:eastAsia="宋体"/>
          <w:color w:val="000000"/>
          <w:sz w:val="21"/>
          <w:szCs w:val="21"/>
          <w:highlight w:val="none"/>
        </w:rPr>
        <w:t xml:space="preserve">…………………………………………………………………………………………X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四、货物安装验收标准………………………………………………………………………………………X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五、项目实施方案……………………………………………………………………………………………X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六、服务承诺…………………………………………………………………………………………………X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七、供应商认为需要提供的其他技术资料等………………………………………………………………X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八、第四章评标标准要求提供的方案或相关证明材料等…………………………………………………X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九、《技术条款偏离表》及其他表格格式…………………………………………………………………X</w:t>
      </w:r>
      <w:r/>
    </w:p>
    <w:p>
      <w:pPr>
        <w:pStyle w:val="842"/>
        <w:rPr>
          <w:rFonts w:hint="eastAsia"/>
        </w:rPr>
      </w:pPr>
      <w:r>
        <w:rPr>
          <w:rFonts w:hint="eastAsia"/>
        </w:rPr>
      </w:r>
      <w:r/>
    </w:p>
    <w:p>
      <w:pPr>
        <w:jc w:val="both"/>
        <w:keepLines w:val="0"/>
        <w:keepNext w:val="0"/>
        <w:pageBreakBefore w:val="0"/>
        <w:spacing w:line="48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注：投标文件的技术部分是证明供应商提供的产品和服务是合格的、并符合招标文件要求的证明文件，这些文件可以是文字资料方案、图纸（表）和数据等。各供应商根据所投货物性能、货物制造商实际情况以及对招标文件响应程度进行编制投标文件，格式自拟。</w:t>
      </w:r>
      <w:r/>
    </w:p>
    <w:p>
      <w:pPr>
        <w:jc w:val="center"/>
        <w:spacing w:line="360" w:lineRule="auto"/>
        <w:shd w:val="clear" w:color="auto" w:fill="auto"/>
        <w:widowControl/>
        <w:rPr>
          <w:rFonts w:hint="eastAsia" w:ascii="宋体" w:hAnsi="宋体" w:eastAsia="宋体"/>
          <w:color w:val="000000"/>
          <w:sz w:val="24"/>
          <w:szCs w:val="24"/>
          <w:highlight w:val="none"/>
        </w:rPr>
      </w:pPr>
      <w:r>
        <w:rPr>
          <w:rFonts w:hint="eastAsia" w:ascii="仿宋_GB2312" w:eastAsia="仿宋_GB2312"/>
          <w:color w:val="000000"/>
          <w:sz w:val="24"/>
          <w:highlight w:val="none"/>
        </w:rPr>
        <w:br w:type="page" w:clear="all"/>
      </w:r>
      <w:r>
        <w:rPr>
          <w:rFonts w:hint="eastAsia" w:ascii="黑体" w:hAnsi="黑体" w:eastAsia="黑体" w:cs="黑体"/>
          <w:color w:val="000000"/>
          <w:sz w:val="24"/>
          <w:szCs w:val="24"/>
          <w:highlight w:val="none"/>
        </w:rPr>
        <w:t xml:space="preserve">表格格式（仅供参考，可按需调整或删除）</w:t>
      </w:r>
      <w:r/>
    </w:p>
    <w:p>
      <w:pPr>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（一）投标项目主要产品一览表格式</w:t>
      </w:r>
      <w:r/>
    </w:p>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投标项目主要产品一览表</w:t>
      </w:r>
      <w:r/>
    </w:p>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（至少填报</w:t>
      </w:r>
      <w:r>
        <w:rPr>
          <w:rFonts w:hint="eastAsia" w:ascii="宋体" w:hAnsi="宋体" w:eastAsia="宋体"/>
          <w:color w:val="000000"/>
          <w:sz w:val="21"/>
          <w:szCs w:val="21"/>
          <w:highlight w:val="none"/>
          <w:lang w:val="en-US" w:eastAsia="zh-CN"/>
        </w:rPr>
        <w:t xml:space="preserve">核心产品以及</w:t>
      </w:r>
      <w:r>
        <w:rPr>
          <w:rFonts w:hint="eastAsia" w:ascii="宋体" w:hAnsi="宋体" w:eastAsia="宋体"/>
          <w:color w:val="000000"/>
          <w:sz w:val="21"/>
          <w:szCs w:val="21"/>
          <w:highlight w:val="none"/>
        </w:rPr>
        <w:t xml:space="preserve">单价最高的产品）</w:t>
      </w:r>
      <w:r/>
    </w:p>
    <w:tbl>
      <w:tblPr>
        <w:tblStyle w:val="783"/>
        <w:tblpPr w:horzAnchor="margin" w:tblpXSpec="left" w:vertAnchor="text" w:tblpY="133"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895"/>
        <w:gridCol w:w="2880"/>
        <w:gridCol w:w="475"/>
        <w:gridCol w:w="605"/>
        <w:gridCol w:w="1080"/>
        <w:gridCol w:w="1574"/>
      </w:tblGrid>
      <w:tr>
        <w:trPr>
          <w:trHeight w:val="284"/>
        </w:trPr>
        <w:tc>
          <w:tcPr>
            <w:gridSpan w:val="4"/>
            <w:tcW w:w="5983" w:type="dxa"/>
            <w:vAlign w:val="center"/>
            <w:textDirection w:val="lrTb"/>
            <w:noWrap w:val="false"/>
          </w:tcPr>
          <w:p>
            <w:pP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3"/>
            <w:tcW w:w="3259" w:type="dxa"/>
            <w:vAlign w:val="center"/>
            <w:textDirection w:val="lrTb"/>
            <w:noWrap w:val="false"/>
          </w:tcPr>
          <w:p>
            <w:pP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trHeight w:val="284"/>
        </w:trPr>
        <w:tc>
          <w:tcPr>
            <w:tcW w:w="73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189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w:t>
            </w:r>
            <w:r/>
          </w:p>
        </w:tc>
        <w:tc>
          <w:tcPr>
            <w:tcW w:w="28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品牌、规格或型号</w:t>
            </w:r>
            <w:r/>
          </w:p>
        </w:tc>
        <w:tc>
          <w:tcPr>
            <w:gridSpan w:val="2"/>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数量</w:t>
            </w:r>
            <w:r/>
          </w:p>
        </w:tc>
        <w:tc>
          <w:tcPr>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单价（元）</w:t>
            </w:r>
            <w:r/>
          </w:p>
        </w:tc>
        <w:tc>
          <w:tcPr>
            <w:tcW w:w="15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质保年限</w:t>
            </w:r>
            <w:r/>
          </w:p>
        </w:tc>
      </w:tr>
      <w:tr>
        <w:trPr>
          <w:trHeight w:val="284"/>
        </w:trPr>
        <w:tc>
          <w:tcPr>
            <w:tcW w:w="73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89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8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73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89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8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73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89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8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73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89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8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bookmarkStart w:id="43" w:name="OLE_LINK26"/>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bookmarkEnd w:id="43"/>
      <w:r>
        <w:rPr>
          <w:rFonts w:hint="eastAsia" w:ascii="宋体" w:hAnsi="宋体" w:eastAsia="宋体"/>
          <w:color w:val="000000"/>
          <w:sz w:val="21"/>
          <w:szCs w:val="21"/>
          <w:highlight w:val="none"/>
        </w:rPr>
        <w:t xml:space="preserve">）</w:t>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（二）供货一览表格式</w:t>
      </w:r>
      <w:r/>
    </w:p>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供货一览表</w:t>
      </w:r>
      <w:r/>
    </w:p>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（含配件、备品、消耗材料）</w:t>
      </w:r>
      <w:r/>
    </w:p>
    <w:tbl>
      <w:tblPr>
        <w:tblStyle w:val="78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805"/>
        <w:gridCol w:w="380"/>
        <w:gridCol w:w="894"/>
        <w:gridCol w:w="1531"/>
        <w:gridCol w:w="1430"/>
        <w:gridCol w:w="295"/>
        <w:gridCol w:w="1398"/>
        <w:gridCol w:w="1561"/>
      </w:tblGrid>
      <w:tr>
        <w:trPr>
          <w:trHeight w:val="284"/>
        </w:trPr>
        <w:tc>
          <w:tcPr>
            <w:gridSpan w:val="6"/>
            <w:tcW w:w="6048" w:type="dxa"/>
            <w:vAlign w:val="center"/>
            <w:textDirection w:val="lrTb"/>
            <w:noWrap w:val="false"/>
          </w:tcPr>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3"/>
            <w:tcW w:w="3254" w:type="dxa"/>
            <w:vAlign w:val="center"/>
            <w:textDirection w:val="lrTb"/>
            <w:noWrap w:val="false"/>
          </w:tcPr>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trHeight w:val="284"/>
        </w:trPr>
        <w:tc>
          <w:tcPr>
            <w:gridSpan w:val="2"/>
            <w:tcW w:w="181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货物1名称</w:t>
            </w:r>
            <w:r/>
          </w:p>
        </w:tc>
        <w:tc>
          <w:tcPr>
            <w:gridSpan w:val="2"/>
            <w:tcW w:w="12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31"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品牌</w:t>
            </w:r>
            <w:r/>
          </w:p>
        </w:tc>
        <w:tc>
          <w:tcPr>
            <w:gridSpan w:val="2"/>
            <w:tcW w:w="172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398"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规格、型号</w:t>
            </w:r>
            <w:r/>
          </w:p>
        </w:tc>
        <w:tc>
          <w:tcPr>
            <w:tcW w:w="1561"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gridSpan w:val="2"/>
            <w:tcW w:w="181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生产企业名称</w:t>
            </w:r>
            <w:r/>
          </w:p>
        </w:tc>
        <w:tc>
          <w:tcPr>
            <w:gridSpan w:val="3"/>
            <w:tcW w:w="280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72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生产企业地址</w:t>
            </w:r>
            <w:r/>
          </w:p>
        </w:tc>
        <w:tc>
          <w:tcPr>
            <w:gridSpan w:val="2"/>
            <w:tcW w:w="2959"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1008"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gridSpan w:val="2"/>
            <w:tcW w:w="118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w:t>
            </w:r>
            <w:r/>
          </w:p>
        </w:tc>
        <w:tc>
          <w:tcPr>
            <w:tcW w:w="89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数量</w:t>
            </w:r>
            <w:r/>
          </w:p>
        </w:tc>
        <w:tc>
          <w:tcPr>
            <w:gridSpan w:val="5"/>
            <w:tcW w:w="621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主要技术参数</w:t>
            </w:r>
            <w:r/>
          </w:p>
        </w:tc>
      </w:tr>
      <w:tr>
        <w:trPr>
          <w:trHeight w:val="284"/>
        </w:trPr>
        <w:tc>
          <w:tcPr>
            <w:tcW w:w="1008"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8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9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5"/>
            <w:tcW w:w="621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1008"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8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9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5"/>
            <w:tcW w:w="621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1008"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8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9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5"/>
            <w:tcW w:w="621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说明：如果行数不够，请自行增加。</w:t>
      </w:r>
      <w:r/>
    </w:p>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br w:type="page" w:clear="all"/>
      </w:r>
      <w:r>
        <w:rPr>
          <w:rFonts w:hint="eastAsia" w:ascii="宋体" w:hAnsi="宋体" w:eastAsia="宋体"/>
          <w:b/>
          <w:color w:val="000000"/>
          <w:sz w:val="21"/>
          <w:szCs w:val="21"/>
          <w:highlight w:val="none"/>
        </w:rPr>
        <w:t xml:space="preserve">（三）供应商类似业绩情况表格式</w:t>
      </w:r>
      <w:r/>
    </w:p>
    <w:p>
      <w:pPr>
        <w:jc w:val="cente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供应商类似业绩情况表</w:t>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2310"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tcW w:w="2257"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采购单位</w:t>
            </w:r>
            <w:r/>
          </w:p>
        </w:tc>
        <w:tc>
          <w:tcPr>
            <w:tcW w:w="1255"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合同</w:t>
            </w:r>
            <w:r/>
          </w:p>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金额</w:t>
            </w:r>
            <w:r/>
          </w:p>
        </w:tc>
        <w:tc>
          <w:tcPr>
            <w:tcW w:w="1418" w:type="dxa"/>
            <w:vAlign w:val="top"/>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合同签定</w:t>
            </w:r>
            <w:r/>
          </w:p>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时间</w:t>
            </w:r>
            <w:r/>
          </w:p>
        </w:tc>
        <w:tc>
          <w:tcPr>
            <w:tcW w:w="1134" w:type="dxa"/>
            <w:vAlign w:val="top"/>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联系人及电话</w:t>
            </w:r>
            <w:r/>
          </w:p>
        </w:tc>
        <w:tc>
          <w:tcPr>
            <w:tcW w:w="969"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备注</w:t>
            </w:r>
            <w:r/>
          </w:p>
        </w:tc>
      </w:tr>
      <w:tr>
        <w:trPr>
          <w:jc w:val="center"/>
        </w:trPr>
        <w:tc>
          <w:tcPr>
            <w:tcW w:w="733"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ind w:firstLine="105"/>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Pr>
        <w:tc>
          <w:tcPr>
            <w:tcW w:w="733"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Pr>
        <w:tc>
          <w:tcPr>
            <w:tcW w:w="733"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说明：供应商根据本格式要求如实填写业绩情况表，并附业绩合同复印件。</w:t>
      </w:r>
      <w:r/>
    </w:p>
    <w:p>
      <w:pPr>
        <w:jc w:val="left"/>
        <w:spacing w:line="480" w:lineRule="auto"/>
        <w:shd w:val="clear" w:color="auto" w:fill="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供应商名称：</w:t>
      </w:r>
      <w:r>
        <w:rPr>
          <w:rFonts w:hint="eastAsia" w:ascii="宋体" w:hAnsi="宋体" w:eastAsia="宋体"/>
          <w:bCs/>
          <w:color w:val="000000"/>
          <w:sz w:val="21"/>
          <w:szCs w:val="21"/>
          <w:highlight w:val="none"/>
          <w:u w:val="single"/>
        </w:rPr>
        <w:t xml:space="preserve"></w:t>
      </w:r>
      <w:r>
        <w:rPr>
          <w:rFonts w:hint="eastAsia" w:ascii="宋体" w:hAnsi="宋体" w:eastAsia="宋体"/>
          <w:bCs/>
          <w:color w:val="000000"/>
          <w:sz w:val="21"/>
          <w:szCs w:val="21"/>
          <w:highlight w:val="none"/>
        </w:rPr>
        <w:t xml:space="preserve">（</w:t>
      </w:r>
      <w:bookmarkStart w:id="44" w:name="OLE_LINK27"/>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bookmarkEnd w:id="44"/>
      <w:r>
        <w:rPr>
          <w:rFonts w:hint="eastAsia" w:ascii="宋体" w:hAnsi="宋体" w:eastAsia="宋体"/>
          <w:bCs/>
          <w:color w:val="000000"/>
          <w:sz w:val="21"/>
          <w:szCs w:val="21"/>
          <w:highlight w:val="none"/>
        </w:rPr>
        <w:t xml:space="preserve">）</w:t>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（四）技术条款偏离表格式</w:t>
      </w:r>
      <w:r/>
    </w:p>
    <w:p>
      <w:pPr>
        <w:ind w:left="420"/>
        <w:jc w:val="center"/>
        <w:spacing w:line="360" w:lineRule="auto"/>
        <w:shd w:val="clear" w:color="auto" w:fill="auto"/>
        <w:widowControl/>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技术条款偏离表</w:t>
      </w:r>
      <w:r/>
    </w:p>
    <w:tbl>
      <w:tblPr>
        <w:tblStyle w:val="783"/>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招标文件</w:t>
            </w:r>
            <w:r/>
          </w:p>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采购项目要求提供的</w:t>
            </w:r>
            <w:r/>
          </w:p>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技术或服务要求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p>
    <w:p>
      <w:pPr>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如果行数不够，请自行增加。</w:t>
      </w:r>
      <w:r/>
    </w:p>
    <w:p>
      <w:pPr>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ind w:firstLine="480"/>
        <w:jc w:val="left"/>
        <w:spacing w:line="420" w:lineRule="auto"/>
        <w:shd w:val="clear" w:color="auto" w:fill="auto"/>
        <w:widowControl/>
        <w:rPr>
          <w:rFonts w:hint="eastAsia" w:ascii="黑体" w:hAnsi="宋体" w:eastAsia="黑体"/>
          <w:color w:val="000000"/>
          <w:sz w:val="32"/>
          <w:szCs w:val="32"/>
          <w:highlight w:val="none"/>
        </w:rPr>
      </w:pPr>
      <w:r>
        <w:rPr>
          <w:rFonts w:hint="eastAsia" w:ascii="宋体" w:hAnsi="宋体" w:eastAsia="宋体"/>
          <w:color w:val="000000"/>
          <w:sz w:val="24"/>
          <w:szCs w:val="24"/>
          <w:highlight w:val="none"/>
        </w:rPr>
        <w:br w:type="page" w:clear="all"/>
      </w:r>
      <w:r/>
    </w:p>
    <w:p>
      <w:pPr>
        <w:jc w:val="center"/>
        <w:spacing w:line="360" w:lineRule="auto"/>
        <w:shd w:val="clear" w:color="auto" w:fill="auto"/>
        <w:rPr>
          <w:rFonts w:hint="eastAsia" w:ascii="黑体" w:hAnsi="宋体" w:eastAsia="黑体"/>
          <w:color w:val="000000"/>
          <w:sz w:val="32"/>
          <w:szCs w:val="32"/>
          <w:highlight w:val="none"/>
          <w:lang w:eastAsia="zh-CN"/>
        </w:rPr>
      </w:pPr>
      <w:r>
        <w:rPr>
          <w:rFonts w:hint="eastAsia" w:ascii="黑体" w:hAnsi="宋体" w:eastAsia="黑体"/>
          <w:bCs/>
          <w:color w:val="000000"/>
          <w:sz w:val="32"/>
          <w:szCs w:val="32"/>
          <w:highlight w:val="none"/>
          <w:lang w:eastAsia="zh-CN"/>
        </w:rPr>
        <w:t xml:space="preserve">南京市食品药品监督检验院仪器配件耗材采购</w:t>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hd w:val="clear" w:color="auto" w:fill="auto"/>
        <w:rPr>
          <w:rFonts w:ascii="黑体" w:hAnsi="宋体" w:eastAsia="黑体"/>
          <w:color w:val="000000"/>
          <w:sz w:val="72"/>
          <w:szCs w:val="72"/>
          <w:highlight w:val="none"/>
        </w:rPr>
      </w:pPr>
      <w:r>
        <w:rPr>
          <w:rFonts w:hint="eastAsia" w:ascii="黑体" w:hAnsi="宋体" w:eastAsia="黑体"/>
          <w:color w:val="000000"/>
          <w:sz w:val="72"/>
          <w:szCs w:val="72"/>
          <w:highlight w:val="none"/>
        </w:rPr>
        <w:t xml:space="preserve">价格部分</w:t>
      </w:r>
      <w:r/>
    </w:p>
    <w:p>
      <w:pPr>
        <w:jc w:val="center"/>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ind w:firstLine="1280"/>
        <w:spacing w:line="360" w:lineRule="auto"/>
        <w:shd w:val="clear" w:color="auto" w:fill="auto"/>
        <w:rPr>
          <w:rFonts w:ascii="黑体" w:hAnsi="宋体" w:eastAsia="黑体"/>
          <w:color w:val="000000"/>
          <w:sz w:val="32"/>
          <w:szCs w:val="32"/>
          <w:highlight w:val="none"/>
          <w:lang w:val="en-US" w:eastAsia="zh-CN"/>
        </w:rPr>
      </w:pPr>
      <w:r>
        <w:rPr>
          <w:rFonts w:hint="eastAsia" w:ascii="黑体" w:hAnsi="宋体" w:eastAsia="黑体"/>
          <w:color w:val="000000"/>
          <w:sz w:val="32"/>
          <w:szCs w:val="32"/>
          <w:highlight w:val="none"/>
        </w:rPr>
        <w:t xml:space="preserve">项目编号：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w:t>
      </w:r>
      <w:r>
        <w:rPr>
          <w:rFonts w:hint="eastAsia" w:ascii="黑体" w:hAnsi="宋体" w:eastAsia="黑体"/>
          <w:color w:val="000000"/>
          <w:sz w:val="32"/>
          <w:szCs w:val="32"/>
          <w:highlight w:val="none"/>
          <w:lang w:val="en-US" w:eastAsia="zh-CN"/>
        </w:rPr>
        <w:t xml:space="preserve">加盖电子</w:t>
      </w:r>
      <w:r>
        <w:rPr>
          <w:rFonts w:hint="eastAsia" w:ascii="黑体" w:hAnsi="宋体" w:eastAsia="黑体"/>
          <w:color w:val="000000"/>
          <w:sz w:val="32"/>
          <w:szCs w:val="32"/>
          <w:highlight w:val="none"/>
        </w:rPr>
        <w:t xml:space="preserve">公章）</w:t>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2880"/>
        <w:spacing w:line="420" w:lineRule="auto"/>
        <w:shd w:val="clear" w:color="auto" w:fill="auto"/>
        <w:rPr>
          <w:rFonts w:hint="eastAsia" w:ascii="黑体" w:hAnsi="宋体" w:eastAsia="黑体"/>
          <w:color w:val="000000"/>
          <w:sz w:val="32"/>
          <w:szCs w:val="32"/>
          <w:highlight w:val="none"/>
        </w:rPr>
        <w:outlineLvl w:val="9"/>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p>
    <w:p>
      <w:pPr>
        <w:jc w:val="center"/>
        <w:spacing w:line="420" w:lineRule="auto"/>
        <w:shd w:val="clear" w:color="auto" w:fill="auto"/>
        <w:rPr>
          <w:rFonts w:hint="eastAsia" w:ascii="黑体" w:hAnsi="黑体" w:eastAsia="黑体" w:cs="黑体"/>
          <w:color w:val="000000"/>
          <w:sz w:val="28"/>
          <w:szCs w:val="28"/>
          <w:highlight w:val="none"/>
        </w:rPr>
        <w:outlineLvl w:val="1"/>
      </w:pPr>
      <w:r>
        <w:rPr>
          <w:rFonts w:hint="eastAsia"/>
          <w:color w:val="000000"/>
          <w:highlight w:val="none"/>
        </w:rPr>
        <w:br w:type="page" w:clear="all"/>
      </w:r>
      <w:r>
        <w:rPr>
          <w:rFonts w:hint="eastAsia" w:ascii="黑体" w:hAnsi="黑体" w:eastAsia="黑体" w:cs="黑体"/>
          <w:color w:val="000000"/>
          <w:sz w:val="28"/>
          <w:szCs w:val="28"/>
          <w:highlight w:val="none"/>
        </w:rPr>
        <w:t xml:space="preserve">一、开标一览表格式</w:t>
      </w:r>
      <w:r/>
    </w:p>
    <w:p>
      <w:pPr>
        <w:jc w:val="center"/>
        <w:spacing w:line="48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《开标一览表》</w:t>
      </w:r>
      <w:r/>
    </w:p>
    <w:tbl>
      <w:tblPr>
        <w:tblStyle w:val="783"/>
        <w:tblW w:w="10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556"/>
        <w:gridCol w:w="1244"/>
        <w:gridCol w:w="1139"/>
        <w:gridCol w:w="1513"/>
        <w:gridCol w:w="4153"/>
      </w:tblGrid>
      <w:tr>
        <w:trPr>
          <w:jc w:val="center"/>
          <w:trHeight w:val="702"/>
        </w:trPr>
        <w:tc>
          <w:tcPr>
            <w:tcW w:w="669" w:type="dxa"/>
            <w:vAlign w:val="center"/>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序号</w:t>
            </w:r>
            <w:r/>
          </w:p>
        </w:tc>
        <w:tc>
          <w:tcPr>
            <w:tcW w:w="1556" w:type="dxa"/>
            <w:vAlign w:val="center"/>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项目名称</w:t>
            </w:r>
            <w:r/>
          </w:p>
        </w:tc>
        <w:tc>
          <w:tcPr>
            <w:gridSpan w:val="2"/>
            <w:tcW w:w="2383" w:type="dxa"/>
            <w:vAlign w:val="center"/>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13" w:type="dxa"/>
            <w:vAlign w:val="center"/>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lang w:eastAsia="zh-CN"/>
              </w:rPr>
              <w:t xml:space="preserve">编号</w:t>
            </w:r>
            <w:r/>
          </w:p>
        </w:tc>
        <w:tc>
          <w:tcPr>
            <w:tcW w:w="4153" w:type="dxa"/>
            <w:vAlign w:val="center"/>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893"/>
        </w:trPr>
        <w:tc>
          <w:tcPr>
            <w:tcW w:w="669" w:type="dxa"/>
            <w:vAlign w:val="center"/>
            <w:vMerge w:val="restart"/>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p>
        </w:tc>
        <w:tc>
          <w:tcPr>
            <w:tcW w:w="1556" w:type="dxa"/>
            <w:vAlign w:val="center"/>
            <w:vMerge w:val="restart"/>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rPr>
              <w:outlineLvl w:val="9"/>
            </w:pP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lang w:val="en-US" w:eastAsia="zh-CN"/>
              </w:rPr>
              <w:t xml:space="preserve">总价</w:t>
            </w:r>
            <w:r/>
          </w:p>
        </w:tc>
        <w:tc>
          <w:tcPr>
            <w:tcW w:w="1244" w:type="dxa"/>
            <w:vAlign w:val="center"/>
            <w:vMerge w:val="restart"/>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合计</w:t>
            </w:r>
            <w:r/>
          </w:p>
        </w:tc>
        <w:tc>
          <w:tcPr>
            <w:gridSpan w:val="3"/>
            <w:tcW w:w="6805" w:type="dxa"/>
            <w:vAlign w:val="center"/>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u w:val="single"/>
                <w:lang w:val="en-US" w:eastAsia="zh-CN"/>
              </w:rPr>
              <w:t xml:space="preserve">                            元（大写）</w:t>
            </w:r>
            <w:r/>
          </w:p>
        </w:tc>
      </w:tr>
      <w:tr>
        <w:trPr>
          <w:jc w:val="center"/>
          <w:trHeight w:val="793"/>
        </w:trPr>
        <w:tc>
          <w:tcPr>
            <w:tcW w:w="669" w:type="dxa"/>
            <w:vAlign w:val="center"/>
            <w:vMerge w:val="continue"/>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56" w:type="dxa"/>
            <w:vAlign w:val="center"/>
            <w:vMerge w:val="continue"/>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4" w:type="dxa"/>
            <w:vAlign w:val="center"/>
            <w:vMerge w:val="continue"/>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gridSpan w:val="3"/>
            <w:tcW w:w="6805" w:type="dxa"/>
            <w:vAlign w:val="center"/>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u w:val="single"/>
                <w:lang w:val="en-US" w:eastAsia="zh-CN"/>
              </w:rPr>
              <w:t xml:space="preserve">                           元（小写）</w:t>
            </w:r>
            <w:r/>
          </w:p>
        </w:tc>
      </w:tr>
      <w:tr>
        <w:trPr>
          <w:jc w:val="center"/>
          <w:trHeight w:val="587"/>
        </w:trPr>
        <w:tc>
          <w:tcPr>
            <w:tcW w:w="669" w:type="dxa"/>
            <w:vAlign w:val="center"/>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w:t>
            </w:r>
            <w:r/>
          </w:p>
        </w:tc>
        <w:tc>
          <w:tcPr>
            <w:tcW w:w="1556" w:type="dxa"/>
            <w:vAlign w:val="center"/>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项目交付时间</w:t>
            </w:r>
            <w:r/>
          </w:p>
        </w:tc>
        <w:tc>
          <w:tcPr>
            <w:gridSpan w:val="4"/>
            <w:tcW w:w="8049" w:type="dxa"/>
            <w:vAlign w:val="center"/>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满足招标文件要求</w:t>
            </w:r>
            <w:r/>
          </w:p>
        </w:tc>
      </w:tr>
      <w:tr>
        <w:trPr>
          <w:jc w:val="center"/>
          <w:trHeight w:val="1192"/>
        </w:trPr>
        <w:tc>
          <w:tcPr>
            <w:tcW w:w="669" w:type="dxa"/>
            <w:vAlign w:val="center"/>
            <w:textDirection w:val="lrTb"/>
            <w:noWrap w:val="false"/>
          </w:tcPr>
          <w:p>
            <w:pPr>
              <w:pStyle w:val="792"/>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w:t>
            </w:r>
            <w:r/>
          </w:p>
        </w:tc>
        <w:tc>
          <w:tcPr>
            <w:tcW w:w="1556" w:type="dxa"/>
            <w:vAlign w:val="center"/>
            <w:textDirection w:val="lrTb"/>
            <w:noWrap w:val="false"/>
          </w:tcPr>
          <w:p>
            <w:pPr>
              <w:jc w:val="center"/>
              <w:keepLines w:val="0"/>
              <w:keepNext w:val="0"/>
              <w:pageBreakBefore w:val="0"/>
              <w:spacing w:line="380" w:lineRule="exact"/>
              <w:shd w:val="clear" w:color="auto" w:fill="auto"/>
              <w:widowControl/>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供应商提供的货物是否均为小微企业制造的货物</w:t>
            </w:r>
            <w:r/>
          </w:p>
        </w:tc>
        <w:tc>
          <w:tcPr>
            <w:gridSpan w:val="4"/>
            <w:tcW w:w="8049" w:type="dxa"/>
            <w:vAlign w:val="center"/>
            <w:textDirection w:val="lrTb"/>
            <w:noWrap w:val="false"/>
          </w:tcPr>
          <w:p>
            <w:pPr>
              <w:jc w:val="center"/>
              <w:keepLines w:val="0"/>
              <w:keepNext w:val="0"/>
              <w:pageBreakBefore w:val="0"/>
              <w:spacing w:line="380" w:lineRule="exact"/>
              <w:shd w:val="clear" w:color="auto" w:fill="auto"/>
              <w:widowControl/>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是       否</w:t>
            </w:r>
            <w:r/>
          </w:p>
        </w:tc>
      </w:tr>
    </w:tbl>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说明：供应商须根据制造商实际情况，在“供应商提供的货物是否均为小微企业制造的货物”栏后“是”或“否”上打“√”，如</w:t>
      </w:r>
      <w:r>
        <w:rPr>
          <w:rFonts w:hint="eastAsia" w:ascii="宋体" w:hAnsi="宋体" w:eastAsia="宋体"/>
          <w:color w:val="000000"/>
          <w:sz w:val="21"/>
          <w:szCs w:val="21"/>
          <w:highlight w:val="none"/>
          <w:lang w:val="en-US"/>
        </w:rPr>
        <w:t xml:space="preserve">供应商提供的货物存在中型企业或大型企业制造的货物，请在</w:t>
      </w:r>
      <w:r>
        <w:rPr>
          <w:rFonts w:hint="eastAsia" w:ascii="宋体" w:hAnsi="宋体" w:eastAsia="宋体"/>
          <w:color w:val="000000"/>
          <w:sz w:val="21"/>
          <w:szCs w:val="21"/>
          <w:highlight w:val="none"/>
        </w:rPr>
        <w:t xml:space="preserve">“否”上打“√”。</w:t>
      </w:r>
      <w:r/>
    </w:p>
    <w:p>
      <w:pPr>
        <w:ind w:firstLine="63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360" w:lineRule="auto"/>
        <w:shd w:val="clear" w:color="auto" w:fill="auto"/>
        <w:tabs>
          <w:tab w:val="center" w:pos="4535"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spacing w:line="360" w:lineRule="auto"/>
        <w:shd w:val="clear" w:color="auto" w:fill="auto"/>
        <w:rPr>
          <w:rFonts w:hint="eastAsia" w:eastAsia="宋体"/>
          <w:color w:val="000000"/>
          <w:highlight w:val="none"/>
        </w:rPr>
      </w:pPr>
      <w:r>
        <w:rPr>
          <w:rFonts w:hint="eastAsia" w:eastAsia="宋体"/>
          <w:color w:val="000000"/>
          <w:highlight w:val="none"/>
        </w:rPr>
      </w:r>
      <w:r/>
    </w:p>
    <w:p>
      <w:pPr>
        <w:jc w:val="center"/>
        <w:spacing w:line="360" w:lineRule="auto"/>
        <w:shd w:val="clear" w:color="auto" w:fill="auto"/>
        <w:rPr>
          <w:rFonts w:hint="eastAsia" w:ascii="黑体" w:hAnsi="黑体" w:eastAsia="黑体" w:cs="黑体"/>
          <w:bCs/>
          <w:color w:val="000000"/>
          <w:sz w:val="28"/>
          <w:szCs w:val="28"/>
          <w:highlight w:val="none"/>
        </w:rPr>
        <w:outlineLvl w:val="1"/>
      </w:pPr>
      <w:r>
        <w:rPr>
          <w:rFonts w:hint="eastAsia" w:eastAsia="宋体"/>
          <w:color w:val="000000"/>
          <w:highlight w:val="none"/>
        </w:rPr>
        <w:br w:type="page" w:clear="all"/>
      </w:r>
      <w:r>
        <w:rPr>
          <w:rFonts w:hint="eastAsia" w:ascii="黑体" w:hAnsi="黑体" w:eastAsia="黑体" w:cs="黑体"/>
          <w:bCs/>
          <w:color w:val="000000"/>
          <w:sz w:val="28"/>
          <w:szCs w:val="28"/>
          <w:highlight w:val="none"/>
        </w:rPr>
        <w:t xml:space="preserve">二、分项报价表格式</w:t>
      </w:r>
      <w:r/>
    </w:p>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《分项报价表》</w:t>
      </w:r>
      <w:r/>
    </w:p>
    <w:tbl>
      <w:tblPr>
        <w:tblStyle w:val="783"/>
        <w:tblW w:w="49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726"/>
        <w:gridCol w:w="1523"/>
        <w:gridCol w:w="1069"/>
        <w:gridCol w:w="721"/>
        <w:gridCol w:w="1138"/>
        <w:gridCol w:w="1151"/>
        <w:gridCol w:w="1255"/>
      </w:tblGrid>
      <w:tr>
        <w:trPr>
          <w:jc w:val="center"/>
          <w:trHeight w:val="810"/>
        </w:trPr>
        <w:tc>
          <w:tcPr>
            <w:gridSpan w:val="4"/>
            <w:tcW w:w="4960" w:type="dxa"/>
            <w:vAlign w:val="center"/>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4"/>
            <w:tcW w:w="4265" w:type="dxa"/>
            <w:vAlign w:val="center"/>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jc w:val="center"/>
          <w:trHeight w:val="1246"/>
        </w:trPr>
        <w:tc>
          <w:tcPr>
            <w:tcW w:w="642"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1726"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w:t>
            </w:r>
            <w:r/>
          </w:p>
        </w:tc>
        <w:tc>
          <w:tcPr>
            <w:tcW w:w="1523"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品牌、规格或型号或</w:t>
            </w:r>
            <w:r/>
          </w:p>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分项目</w:t>
            </w:r>
            <w:r/>
          </w:p>
        </w:tc>
        <w:tc>
          <w:tcPr>
            <w:tcW w:w="1069"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单价</w:t>
            </w:r>
            <w:r/>
          </w:p>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（元）</w:t>
            </w:r>
            <w:r/>
          </w:p>
        </w:tc>
        <w:tc>
          <w:tcPr>
            <w:tcW w:w="721"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eastAsia="zh-CN"/>
              </w:rPr>
              <w:t xml:space="preserve">数量</w:t>
            </w:r>
            <w:r/>
          </w:p>
        </w:tc>
        <w:tc>
          <w:tcPr>
            <w:tcW w:w="1138"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小计</w:t>
            </w:r>
            <w:r/>
          </w:p>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（元）</w:t>
            </w:r>
            <w:r/>
          </w:p>
        </w:tc>
        <w:tc>
          <w:tcPr>
            <w:tcW w:w="1151"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是否属于小微企业制造的货物</w:t>
            </w:r>
            <w:r/>
          </w:p>
        </w:tc>
        <w:tc>
          <w:tcPr>
            <w:tcW w:w="1255"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是否属于节能、环境标志产品</w:t>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22"/>
        </w:trPr>
        <w:tc>
          <w:tcPr>
            <w:gridSpan w:val="5"/>
            <w:tcW w:w="568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合计总价</w:t>
            </w:r>
            <w:r/>
          </w:p>
        </w:tc>
        <w:tc>
          <w:tcPr>
            <w:gridSpan w:val="3"/>
            <w:tcW w:w="3544" w:type="dxa"/>
            <w:vAlign w:val="top"/>
            <w:textDirection w:val="lrTb"/>
            <w:noWrap w:val="false"/>
          </w:tcPr>
          <w:p>
            <w:pPr>
              <w:jc w:val="righ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元</w:t>
            </w:r>
            <w:r/>
          </w:p>
        </w:tc>
      </w:tr>
    </w:tbl>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说明：1、《分项报价表》中“</w:t>
      </w:r>
      <w:r>
        <w:rPr>
          <w:rFonts w:hint="eastAsia" w:ascii="宋体" w:hAnsi="宋体" w:eastAsia="宋体"/>
          <w:color w:val="000000"/>
          <w:sz w:val="21"/>
          <w:szCs w:val="21"/>
          <w:highlight w:val="none"/>
          <w:lang w:val="en-US" w:eastAsia="zh-CN"/>
        </w:rPr>
        <w:t xml:space="preserve">合计</w:t>
      </w:r>
      <w:r>
        <w:rPr>
          <w:rFonts w:hint="eastAsia" w:ascii="宋体" w:hAnsi="宋体" w:eastAsia="宋体"/>
          <w:color w:val="000000"/>
          <w:sz w:val="21"/>
          <w:szCs w:val="21"/>
          <w:highlight w:val="none"/>
        </w:rPr>
        <w:t xml:space="preserve">总价”应当与《开标一览表》中“投标总价”一致。</w:t>
      </w:r>
      <w:r/>
    </w:p>
    <w:p>
      <w:pPr>
        <w:spacing w:line="48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2、在“是否属于小微企业制造的货物”栏内，填写“是”或“否”，供应商须根据制造商实际情况如实填写，如供应商提供的货物存在中型企业或大型企业制造的货物，则不享受小微企业价格评审优惠政策。</w:t>
      </w:r>
      <w:r/>
    </w:p>
    <w:p>
      <w:pP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lang w:val="en-US"/>
        </w:rPr>
        <w:t xml:space="preserve">      3、在“</w:t>
      </w:r>
      <w:r>
        <w:rPr>
          <w:rFonts w:hint="eastAsia" w:ascii="宋体" w:hAnsi="宋体" w:eastAsia="宋体"/>
          <w:color w:val="000000"/>
          <w:sz w:val="21"/>
          <w:szCs w:val="21"/>
          <w:highlight w:val="none"/>
        </w:rPr>
        <w:t xml:space="preserve">是否属于节能、环境标志产品</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rPr>
        <w:t xml:space="preserve">栏内，填写“是”或“否”，如供应商提供的货物为节能、环境标志产品，则该货物必须为列入</w:t>
      </w:r>
      <w:r>
        <w:rPr>
          <w:rFonts w:hint="eastAsia" w:ascii="宋体" w:hAnsi="宋体" w:eastAsia="宋体"/>
          <w:bCs/>
          <w:color w:val="000000"/>
          <w:sz w:val="21"/>
          <w:szCs w:val="21"/>
          <w:highlight w:val="none"/>
        </w:rPr>
        <w:t xml:space="preserve">《节能产品政府采购品目清单》、《环境标志产品政府采购品目清单》的产品，且以供应商提供经国家确定的认证机构出具的、处于有效期之内的产品认证证书复印件为准，否则不享受节能、环境标志产品优先采购政策。</w:t>
      </w:r>
      <w:r/>
    </w:p>
    <w:p>
      <w:pP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br w:type="page" w:clear="all"/>
      </w:r>
      <w:r/>
    </w:p>
    <w:p>
      <w:pPr>
        <w:jc w:val="center"/>
        <w:spacing w:line="360" w:lineRule="auto"/>
        <w:widowControl/>
        <w:rPr>
          <w:rFonts w:hint="eastAsia" w:ascii="黑体" w:hAnsi="黑体" w:eastAsia="黑体" w:cs="黑体"/>
          <w:color w:val="auto"/>
          <w:sz w:val="24"/>
          <w:szCs w:val="24"/>
          <w:highlight w:val="none"/>
          <w:lang w:eastAsia="zh-CN"/>
        </w:rPr>
      </w:pPr>
      <w:r>
        <w:rPr>
          <w:rFonts w:hint="eastAsia" w:ascii="宋体" w:hAnsi="宋体" w:eastAsia="宋体" w:cs="宋体"/>
          <w:color w:val="auto"/>
          <w:sz w:val="21"/>
          <w:szCs w:val="21"/>
          <w:highlight w:val="none"/>
          <w:lang w:val="en-US" w:eastAsia="zh-CN"/>
        </w:rPr>
        <w:t xml:space="preserve">《分项报价表》</w:t>
      </w:r>
      <w:r>
        <w:rPr>
          <w:rFonts w:hint="eastAsia" w:ascii="宋体" w:hAnsi="宋体" w:eastAsia="宋体" w:cs="宋体"/>
          <w:b w:val="0"/>
          <w:bCs w:val="0"/>
          <w:color w:val="auto"/>
          <w:sz w:val="24"/>
          <w:szCs w:val="24"/>
          <w:highlight w:val="none"/>
          <w:lang w:eastAsia="zh-CN"/>
        </w:rPr>
        <w:t xml:space="preserve">（二）</w:t>
      </w:r>
      <w:r/>
    </w:p>
    <w:p>
      <w:pPr>
        <w:jc w:val="center"/>
        <w:spacing w:line="360" w:lineRule="auto"/>
        <w:widowControl/>
        <w:rPr>
          <w:rFonts w:hint="eastAsia" w:ascii="黑体" w:hAnsi="黑体" w:eastAsia="黑体" w:cs="黑体"/>
          <w:color w:val="auto"/>
          <w:sz w:val="24"/>
          <w:szCs w:val="24"/>
          <w:highlight w:val="none"/>
          <w:lang w:val="zh-CN" w:eastAsia="zh-CN" w:bidi="ar-SA"/>
        </w:rPr>
      </w:pP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zh-CN" w:eastAsia="zh-CN" w:bidi="ar-SA"/>
        </w:rPr>
        <w:t xml:space="preserve">品牌</w:t>
      </w:r>
      <w:r>
        <w:rPr>
          <w:rFonts w:hint="eastAsia" w:ascii="黑体" w:hAnsi="黑体" w:eastAsia="黑体" w:cs="黑体"/>
          <w:color w:val="auto"/>
          <w:sz w:val="24"/>
          <w:szCs w:val="24"/>
          <w:highlight w:val="none"/>
          <w:lang w:val="en-US" w:eastAsia="zh-CN" w:bidi="ar-SA"/>
        </w:rPr>
        <w:t xml:space="preserve">折扣</w:t>
      </w:r>
      <w:r>
        <w:rPr>
          <w:rFonts w:hint="eastAsia" w:ascii="黑体" w:hAnsi="黑体" w:eastAsia="黑体" w:cs="黑体"/>
          <w:color w:val="auto"/>
          <w:sz w:val="24"/>
          <w:szCs w:val="24"/>
          <w:highlight w:val="none"/>
          <w:lang w:val="zh-CN" w:eastAsia="zh-CN" w:bidi="ar-SA"/>
        </w:rPr>
        <w:t xml:space="preserve">率</w:t>
      </w:r>
      <w:r>
        <w:rPr>
          <w:rFonts w:hint="eastAsia" w:ascii="黑体" w:hAnsi="黑体" w:eastAsia="黑体" w:cs="黑体"/>
          <w:color w:val="auto"/>
          <w:sz w:val="24"/>
          <w:szCs w:val="24"/>
          <w:highlight w:val="none"/>
          <w:lang w:val="en-US" w:eastAsia="zh-CN" w:bidi="ar-SA"/>
        </w:rPr>
        <w:t xml:space="preserve">报价</w:t>
      </w:r>
      <w:r>
        <w:rPr>
          <w:rFonts w:hint="eastAsia" w:ascii="黑体" w:hAnsi="黑体" w:eastAsia="黑体" w:cs="黑体"/>
          <w:color w:val="auto"/>
          <w:sz w:val="24"/>
          <w:szCs w:val="24"/>
          <w:highlight w:val="none"/>
          <w:lang w:val="zh-CN" w:eastAsia="zh-CN" w:bidi="ar-SA"/>
        </w:rPr>
        <w:t xml:space="preserve">表</w:t>
      </w:r>
      <w:r/>
    </w:p>
    <w:tbl>
      <w:tblPr>
        <w:tblStyle w:val="783"/>
        <w:tblpPr w:horzAnchor="page" w:tblpX="1661" w:vertAnchor="text" w:tblpY="401" w:leftFromText="180" w:topFromText="0" w:rightFromText="180" w:bottomFromText="0"/>
        <w:tblW w:w="88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513"/>
        <w:gridCol w:w="1138"/>
        <w:gridCol w:w="1183"/>
        <w:gridCol w:w="1070"/>
        <w:gridCol w:w="1193"/>
        <w:gridCol w:w="1192"/>
        <w:gridCol w:w="890"/>
      </w:tblGrid>
      <w:tr>
        <w:trPr>
          <w:trHeight w:val="586"/>
        </w:trPr>
        <w:tc>
          <w:tcPr>
            <w:gridSpan w:val="8"/>
            <w:tcW w:w="8857" w:type="dxa"/>
            <w:vAlign w:val="center"/>
            <w:textDirection w:val="lrTb"/>
            <w:noWrap w:val="false"/>
          </w:tcPr>
          <w:p>
            <w:pPr>
              <w:jc w:val="center"/>
              <w:spacing w:line="276" w:lineRule="auto"/>
              <w:widowControl/>
              <w:rPr>
                <w:rFonts w:hint="eastAsia" w:ascii="仿宋_GB2312" w:hAnsi="仿宋_GB2312" w:eastAsia="仿宋_GB2312" w:cs="仿宋_GB2312"/>
                <w:bCs/>
                <w:color w:val="auto"/>
                <w:sz w:val="21"/>
                <w:szCs w:val="21"/>
              </w:rPr>
            </w:pPr>
            <w:r>
              <w:rPr>
                <w:rFonts w:hint="eastAsia" w:ascii="仿宋_GB2312" w:hAnsi="仿宋_GB2312" w:eastAsia="仿宋_GB2312" w:cs="仿宋_GB2312"/>
                <w:b/>
                <w:bCs w:val="0"/>
                <w:color w:val="auto"/>
                <w:sz w:val="21"/>
                <w:szCs w:val="21"/>
                <w:lang w:eastAsia="zh-CN"/>
              </w:rPr>
              <w:t xml:space="preserve">主要品牌目录</w:t>
            </w:r>
            <w:r/>
          </w:p>
        </w:tc>
      </w:tr>
      <w:tr>
        <w:trPr>
          <w:trHeight w:val="586"/>
        </w:trPr>
        <w:tc>
          <w:tcPr>
            <w:tcW w:w="678" w:type="dxa"/>
            <w:vAlign w:val="center"/>
            <w:textDirection w:val="lrTb"/>
            <w:noWrap w:val="false"/>
          </w:tcPr>
          <w:p>
            <w:pPr>
              <w:jc w:val="center"/>
              <w:spacing w:line="276" w:lineRule="auto"/>
              <w:widowControl/>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序号</w:t>
            </w:r>
            <w:r/>
          </w:p>
        </w:tc>
        <w:tc>
          <w:tcPr>
            <w:tcW w:w="1513" w:type="dxa"/>
            <w:vAlign w:val="center"/>
            <w:textDirection w:val="lrTb"/>
            <w:noWrap w:val="false"/>
          </w:tcPr>
          <w:p>
            <w:pPr>
              <w:jc w:val="center"/>
              <w:spacing w:line="276" w:lineRule="auto"/>
              <w:widowControl/>
              <w:rPr>
                <w:rFonts w:hint="eastAsia" w:ascii="仿宋_GB2312" w:hAnsi="仿宋_GB2312" w:eastAsia="仿宋_GB2312" w:cs="仿宋_GB2312"/>
                <w:bCs/>
                <w:color w:val="auto"/>
                <w:sz w:val="21"/>
                <w:szCs w:val="21"/>
                <w:lang w:val="en-US"/>
              </w:rPr>
            </w:pPr>
            <w:r>
              <w:rPr>
                <w:rFonts w:hint="eastAsia" w:ascii="仿宋_GB2312" w:hAnsi="仿宋_GB2312" w:eastAsia="仿宋_GB2312" w:cs="仿宋_GB2312"/>
                <w:bCs/>
                <w:color w:val="auto"/>
                <w:sz w:val="21"/>
                <w:szCs w:val="21"/>
                <w:lang w:val="en-US"/>
              </w:rPr>
              <w:t xml:space="preserve">产品品牌</w:t>
            </w:r>
            <w:r/>
          </w:p>
        </w:tc>
        <w:tc>
          <w:tcPr>
            <w:tcW w:w="1138"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产品范围</w:t>
            </w:r>
            <w:r/>
          </w:p>
        </w:tc>
        <w:tc>
          <w:tcPr>
            <w:tcW w:w="1183"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是否授权代理</w:t>
            </w:r>
            <w:r/>
          </w:p>
        </w:tc>
        <w:tc>
          <w:tcPr>
            <w:tcW w:w="1070"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代理销售区域</w:t>
            </w:r>
            <w:r/>
          </w:p>
        </w:tc>
        <w:tc>
          <w:tcPr>
            <w:tcW w:w="1193"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授权有效期</w:t>
            </w:r>
            <w:r/>
          </w:p>
        </w:tc>
        <w:tc>
          <w:tcPr>
            <w:tcW w:w="1192"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lang w:val="en-US"/>
              </w:rPr>
            </w:pPr>
            <w:r>
              <w:rPr>
                <w:rFonts w:hint="eastAsia" w:ascii="仿宋_GB2312" w:hAnsi="仿宋_GB2312" w:eastAsia="仿宋_GB2312" w:cs="仿宋_GB2312"/>
                <w:bCs/>
                <w:color w:val="auto"/>
                <w:sz w:val="21"/>
                <w:szCs w:val="21"/>
                <w:lang w:val="en-US"/>
              </w:rPr>
              <w:t xml:space="preserve">折扣率</w:t>
            </w:r>
            <w:r/>
          </w:p>
        </w:tc>
        <w:tc>
          <w:tcPr>
            <w:tcW w:w="890" w:type="dxa"/>
            <w:vAlign w:val="center"/>
            <w:textDirection w:val="lrTb"/>
            <w:noWrap w:val="false"/>
          </w:tcPr>
          <w:p>
            <w:pPr>
              <w:jc w:val="center"/>
              <w:spacing w:line="276" w:lineRule="auto"/>
              <w:widowControl/>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备注</w:t>
            </w:r>
            <w:r/>
          </w:p>
        </w:tc>
      </w:tr>
      <w:tr>
        <w:trPr>
          <w:trHeight w:val="458"/>
        </w:trPr>
        <w:tc>
          <w:tcPr>
            <w:tcW w:w="67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 xml:space="preserve">1</w:t>
            </w:r>
            <w:r/>
          </w:p>
        </w:tc>
        <w:tc>
          <w:tcPr>
            <w:tcW w:w="151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 xml:space="preserve">安捷伦</w:t>
            </w:r>
            <w:r/>
          </w:p>
        </w:tc>
        <w:tc>
          <w:tcPr>
            <w:tcW w:w="113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8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07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2"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89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r>
      <w:tr>
        <w:trPr>
          <w:trHeight w:val="458"/>
        </w:trPr>
        <w:tc>
          <w:tcPr>
            <w:tcW w:w="67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 xml:space="preserve">2</w:t>
            </w:r>
            <w:r/>
          </w:p>
        </w:tc>
        <w:tc>
          <w:tcPr>
            <w:tcW w:w="151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3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8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07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2"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89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r>
      <w:tr>
        <w:trPr>
          <w:trHeight w:val="458"/>
        </w:trPr>
        <w:tc>
          <w:tcPr>
            <w:tcW w:w="67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 xml:space="preserve">3</w:t>
            </w:r>
            <w:r/>
          </w:p>
        </w:tc>
        <w:tc>
          <w:tcPr>
            <w:tcW w:w="151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3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8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07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2"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89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r>
    </w:tbl>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967" w:hanging="965"/>
        <w:jc w:val="right"/>
        <w:spacing w:before="24" w:after="24"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p>
    <w:p>
      <w:pPr>
        <w:spacing w:line="276" w:lineRule="auto"/>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供应商名称:</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（盖章）</w:t>
      </w:r>
      <w:r/>
    </w:p>
    <w:p>
      <w:pPr>
        <w:jc w:val="center"/>
        <w:spacing w:line="360" w:lineRule="auto"/>
        <w:rPr>
          <w:rFonts w:hint="eastAsia" w:ascii="黑体" w:hAnsi="黑体" w:eastAsia="黑体" w:cs="黑体"/>
          <w:bCs/>
          <w:color w:val="auto"/>
          <w:sz w:val="28"/>
          <w:szCs w:val="28"/>
          <w:highlight w:val="none"/>
        </w:rPr>
        <w:outlineLvl w:val="9"/>
      </w:pPr>
      <w:r>
        <w:rPr>
          <w:rFonts w:hint="eastAsia" w:ascii="黑体" w:hAnsi="黑体" w:eastAsia="黑体" w:cs="黑体"/>
          <w:bCs/>
          <w:color w:val="auto"/>
          <w:sz w:val="28"/>
          <w:szCs w:val="28"/>
          <w:highlight w:val="none"/>
        </w:rPr>
      </w:r>
      <w:r/>
    </w:p>
    <w:p>
      <w:pPr>
        <w:ind w:firstLine="420"/>
        <w:jc w:val="left"/>
        <w:keepLines w:val="0"/>
        <w:keepNext w:val="0"/>
        <w:pageBreakBefore w:val="0"/>
        <w:spacing w:line="360" w:lineRule="exact"/>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说明：</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如果行数不够，请自行增加</w:t>
      </w:r>
      <w:r>
        <w:rPr>
          <w:rFonts w:hint="eastAsia" w:ascii="宋体" w:hAnsi="宋体" w:eastAsia="宋体"/>
          <w:color w:val="auto"/>
          <w:sz w:val="21"/>
          <w:szCs w:val="21"/>
          <w:highlight w:val="none"/>
          <w:lang w:eastAsia="zh-CN"/>
        </w:rPr>
        <w:t xml:space="preserve">。</w:t>
      </w:r>
      <w:r/>
    </w:p>
    <w:p>
      <w:pPr>
        <w:keepLines w:val="0"/>
        <w:keepNext w:val="0"/>
        <w:pageBreakBefore w:val="0"/>
        <w:spacing w:line="360" w:lineRule="exact"/>
        <w:rPr>
          <w:rFonts w:hint="eastAsia" w:ascii="宋体" w:hAnsi="宋体" w:eastAsia="宋体"/>
          <w:b w:val="0"/>
          <w:bCs/>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        </w:t>
      </w:r>
      <w:r>
        <w:rPr>
          <w:rFonts w:hint="eastAsia" w:ascii="宋体" w:hAnsi="宋体" w:eastAsia="宋体"/>
          <w:b w:val="0"/>
          <w:bCs/>
          <w:color w:val="auto"/>
          <w:sz w:val="21"/>
          <w:szCs w:val="21"/>
          <w:highlight w:val="none"/>
          <w:lang w:val="en-US" w:eastAsia="zh-CN"/>
        </w:rPr>
        <w:t xml:space="preserve">  2、折扣率的公式：折扣率=1-单价报价/单价限价×%。例如：100元的产品，卖99元，折扣率就是1%；100元的产品，卖98.50元，折扣率就是1.5%。</w:t>
      </w:r>
      <w:r/>
    </w:p>
    <w:p>
      <w:pPr>
        <w:ind w:firstLine="1054"/>
        <w:jc w:val="left"/>
        <w:keepLines w:val="0"/>
        <w:keepNext w:val="0"/>
        <w:pageBreakBefore w:val="0"/>
        <w:spacing w:line="360" w:lineRule="exact"/>
        <w:rPr>
          <w:rFonts w:hint="eastAsia" w:ascii="宋体" w:hAnsi="宋体" w:eastAsia="宋体"/>
          <w:b/>
          <w:bCs/>
          <w:color w:val="auto"/>
          <w:sz w:val="21"/>
          <w:szCs w:val="21"/>
          <w:highlight w:val="none"/>
          <w:u w:val="none"/>
          <w:lang w:val="en-US" w:eastAsia="zh-CN"/>
        </w:rPr>
        <w:outlineLvl w:val="9"/>
      </w:pPr>
      <w:r>
        <w:rPr>
          <w:rFonts w:hint="eastAsia" w:ascii="宋体" w:hAnsi="宋体" w:eastAsia="宋体"/>
          <w:b/>
          <w:bCs/>
          <w:color w:val="auto"/>
          <w:sz w:val="21"/>
          <w:szCs w:val="21"/>
          <w:highlight w:val="none"/>
          <w:u w:val="none"/>
          <w:lang w:val="en-US" w:eastAsia="zh-CN"/>
        </w:rPr>
        <w:t xml:space="preserve">3</w:t>
      </w:r>
      <w:r>
        <w:rPr>
          <w:rFonts w:hint="eastAsia" w:ascii="宋体" w:hAnsi="宋体" w:eastAsia="宋体"/>
          <w:b/>
          <w:bCs/>
          <w:color w:val="auto"/>
          <w:sz w:val="21"/>
          <w:szCs w:val="21"/>
          <w:highlight w:val="none"/>
          <w:u w:val="none"/>
        </w:rPr>
        <w:t xml:space="preserve">、</w:t>
      </w:r>
      <w:r>
        <w:rPr>
          <w:rFonts w:hint="eastAsia" w:ascii="宋体" w:hAnsi="宋体" w:eastAsia="宋体"/>
          <w:b/>
          <w:bCs/>
          <w:color w:val="auto"/>
          <w:sz w:val="21"/>
          <w:szCs w:val="21"/>
          <w:highlight w:val="none"/>
          <w:u w:val="none"/>
          <w:lang w:val="en-US" w:eastAsia="zh-CN"/>
        </w:rPr>
        <w:t xml:space="preserve">供应商需对本项目清单中产品所涉及品牌下的其他产品填报品牌折扣率</w:t>
      </w:r>
      <w:r>
        <w:rPr>
          <w:rFonts w:hint="eastAsia" w:ascii="宋体" w:hAnsi="宋体" w:eastAsia="宋体"/>
          <w:b/>
          <w:bCs/>
          <w:color w:val="auto"/>
          <w:sz w:val="21"/>
          <w:szCs w:val="21"/>
          <w:highlight w:val="none"/>
          <w:u w:val="none"/>
          <w:lang w:eastAsia="zh-CN"/>
        </w:rPr>
        <w:t xml:space="preserve">，</w:t>
      </w:r>
      <w:r>
        <w:rPr>
          <w:rFonts w:hint="eastAsia" w:ascii="宋体" w:hAnsi="宋体" w:eastAsia="宋体"/>
          <w:b/>
          <w:bCs/>
          <w:color w:val="auto"/>
          <w:sz w:val="21"/>
          <w:szCs w:val="21"/>
          <w:highlight w:val="none"/>
          <w:u w:val="none"/>
          <w:lang w:val="en-US" w:eastAsia="zh-CN"/>
        </w:rPr>
        <w:t xml:space="preserve">耗材类折扣率的标准按照供应商所投品牌出厂价或官方指导价进行折扣率填报（投标文件中提供品牌折扣率报价表、供应商所投品牌出厂价或官方指导价）</w:t>
      </w:r>
      <w:r>
        <w:rPr>
          <w:rFonts w:hint="eastAsia" w:ascii="宋体" w:hAnsi="宋体" w:eastAsia="宋体"/>
          <w:b/>
          <w:bCs/>
          <w:color w:val="auto"/>
          <w:sz w:val="21"/>
          <w:szCs w:val="21"/>
          <w:highlight w:val="none"/>
          <w:u w:val="none"/>
          <w:lang w:eastAsia="zh-CN"/>
        </w:rPr>
        <w:t xml:space="preserve">。</w:t>
      </w:r>
      <w:r/>
    </w:p>
    <w:p>
      <w:pPr>
        <w:ind w:firstLine="1054"/>
        <w:jc w:val="left"/>
        <w:keepLines w:val="0"/>
        <w:keepNext w:val="0"/>
        <w:pageBreakBefore w:val="0"/>
        <w:spacing w:line="360" w:lineRule="exact"/>
        <w:rPr>
          <w:rFonts w:hint="eastAsia" w:ascii="宋体" w:hAnsi="宋体" w:eastAsia="宋体"/>
          <w:b/>
          <w:bCs/>
          <w:color w:val="auto"/>
          <w:sz w:val="21"/>
          <w:szCs w:val="21"/>
          <w:highlight w:val="none"/>
          <w:u w:val="none"/>
        </w:rPr>
        <w:outlineLvl w:val="9"/>
      </w:pPr>
      <w:r>
        <w:rPr>
          <w:rFonts w:hint="eastAsia" w:ascii="宋体" w:hAnsi="宋体" w:eastAsia="宋体"/>
          <w:b/>
          <w:bCs/>
          <w:color w:val="auto"/>
          <w:sz w:val="21"/>
          <w:szCs w:val="21"/>
          <w:highlight w:val="none"/>
          <w:u w:val="none"/>
        </w:rPr>
      </w:r>
      <w:r/>
    </w:p>
    <w:p>
      <w:pPr>
        <w:spacing w:line="48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789"/>
        <w:rPr>
          <w:rFonts w:hint="eastAsia"/>
        </w:rPr>
      </w:pPr>
      <w:r>
        <w:rPr>
          <w:rFonts w:hint="eastAsia"/>
        </w:rPr>
      </w:r>
      <w:r/>
    </w:p>
    <w:p>
      <w:pP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p>
      <w:pP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p>
      <w:pP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sectPr>
      <w:headerReference w:type="default" r:id="rId10"/>
      <w:footerReference w:type="default" r:id="rId12"/>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思源黑体 CN Normal">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HYDaHeiJ">
    <w:panose1 w:val="020B0503020202020204"/>
  </w:font>
  <w:font w:name="Arial">
    <w:panose1 w:val="020B0604020202020204"/>
  </w:font>
  <w:font w:name="Calibri">
    <w:panose1 w:val="020F0502020204030204"/>
  </w:font>
  <w:font w:name="微软雅黑">
    <w:panose1 w:val="020B0503020204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rFonts w:hint="eastAsia"/>
                              <w:sz w:val="18"/>
                            </w:rPr>
                          </w:pPr>
                          <w:r>
                            <w:rPr>
                              <w:rFonts w:hint="eastAsia"/>
                              <w:sz w:val="18"/>
                            </w:rPr>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rFonts w:hint="eastAsia"/>
                        <w:sz w:val="18"/>
                      </w:rPr>
                    </w:pPr>
                    <w:r>
                      <w:rPr>
                        <w:rFonts w:hint="eastAsia"/>
                        <w:sz w:val="18"/>
                      </w:rPr>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both"/>
      <w:rPr>
        <w:rFonts w:hint="eastAsia"/>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9"/>
                            <w:tabs>
                              <w:tab w:val="clear" w:pos="4153" w:leader="none"/>
                              <w:tab w:val="clear" w:pos="8306" w:leader="none"/>
                            </w:tabs>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32</w:t>
                          </w:r>
                          <w:r>
                            <w:rPr>
                              <w:rFonts w:hint="eastAsia" w:ascii="楷体" w:hAnsi="楷体" w:eastAsia="楷体" w:cs="楷体"/>
                              <w:szCs w:val="18"/>
                            </w:rPr>
                            <w:fldChar w:fldCharType="end"/>
                          </w:r>
                          <w:r>
                            <w:rPr>
                              <w:rFonts w:hint="eastAsia" w:ascii="楷体" w:hAnsi="楷体" w:eastAsia="楷体" w:cs="楷体"/>
                              <w:szCs w:val="18"/>
                            </w:rPr>
                            <w:t xml:space="preserve"> 页 共</w:t>
                          </w:r>
                          <w:r>
                            <w:rPr>
                              <w:rFonts w:hint="eastAsia" w:ascii="楷体" w:hAnsi="楷体" w:eastAsia="楷体" w:cs="楷体"/>
                              <w:szCs w:val="18"/>
                              <w:lang w:val="en-US"/>
                            </w:rPr>
                            <w:t xml:space="preserve"> </w:t>
                          </w:r>
                          <w:r>
                            <w:rPr>
                              <w:rFonts w:hint="eastAsia" w:ascii="楷体" w:hAnsi="楷体" w:eastAsia="楷体" w:cs="楷体"/>
                              <w:szCs w:val="18"/>
                              <w:lang w:val="en-US" w:eastAsia="zh-CN"/>
                            </w:rPr>
                            <w:t xml:space="preserve">68</w:t>
                          </w:r>
                          <w:r>
                            <w:rPr>
                              <w:rFonts w:hint="eastAsia" w:ascii="楷体" w:hAnsi="楷体" w:eastAsia="楷体" w:cs="楷体"/>
                              <w:szCs w:val="18"/>
                            </w:rPr>
                            <w:t xml:space="preserve">页</w:t>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9"/>
                      <w:tabs>
                        <w:tab w:val="clear" w:pos="4153" w:leader="none"/>
                        <w:tab w:val="clear" w:pos="8306" w:leader="none"/>
                      </w:tabs>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32</w:t>
                    </w:r>
                    <w:r>
                      <w:rPr>
                        <w:rFonts w:hint="eastAsia" w:ascii="楷体" w:hAnsi="楷体" w:eastAsia="楷体" w:cs="楷体"/>
                        <w:szCs w:val="18"/>
                      </w:rPr>
                      <w:fldChar w:fldCharType="end"/>
                    </w:r>
                    <w:r>
                      <w:rPr>
                        <w:rFonts w:hint="eastAsia" w:ascii="楷体" w:hAnsi="楷体" w:eastAsia="楷体" w:cs="楷体"/>
                        <w:szCs w:val="18"/>
                      </w:rPr>
                      <w:t xml:space="preserve"> 页 共</w:t>
                    </w:r>
                    <w:r>
                      <w:rPr>
                        <w:rFonts w:hint="eastAsia" w:ascii="楷体" w:hAnsi="楷体" w:eastAsia="楷体" w:cs="楷体"/>
                        <w:szCs w:val="18"/>
                        <w:lang w:val="en-US"/>
                      </w:rPr>
                      <w:t xml:space="preserve"> </w:t>
                    </w:r>
                    <w:r>
                      <w:rPr>
                        <w:rFonts w:hint="eastAsia" w:ascii="楷体" w:hAnsi="楷体" w:eastAsia="楷体" w:cs="楷体"/>
                        <w:szCs w:val="18"/>
                        <w:lang w:val="en-US" w:eastAsia="zh-CN"/>
                      </w:rPr>
                      <w:t xml:space="preserve">68</w:t>
                    </w:r>
                    <w:r>
                      <w:rPr>
                        <w:rFonts w:hint="eastAsia" w:ascii="楷体" w:hAnsi="楷体" w:eastAsia="楷体" w:cs="楷体"/>
                        <w:szCs w:val="18"/>
                      </w:rPr>
                      <w:t xml:space="preserve">页</w:t>
                    </w:r>
                    <w:r/>
                  </w:p>
                  <w:p>
                    <w:r/>
                    <w:r/>
                  </w:p>
                  <w:p>
                    <w:r/>
                    <w:r/>
                  </w:p>
                </w:txbxContent>
              </v:textbox>
            </v:shape>
          </w:pict>
        </mc:Fallback>
      </mc:AlternateContent>
    </w:r>
    <w:r>
      <w:rPr>
        <w:rFonts w:hint="eastAsia" w:ascii="楷体" w:hAnsi="楷体" w:eastAsia="楷体" w:cs="楷体"/>
        <w:sz w:val="21"/>
        <w:szCs w:val="21"/>
      </w:rPr>
      <w:t xml:space="preserve">江苏省华厦工程项目管理有限公司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hint="eastAsia" w:eastAsia="楷体_GB2312"/>
        <w:i/>
      </w:rPr>
    </w:pPr>
    <w:r>
      <w:rPr>
        <w:rFonts w:hint="eastAsia" w:eastAsia="楷体_GB2312"/>
        <w:i/>
      </w:rPr>
      <w:t xml:space="preserve">        </w:t>
    </w:r>
    <w:r/>
  </w:p>
  <w:p>
    <w:pPr>
      <w:jc w:val="left"/>
      <w:tabs>
        <w:tab w:val="left" w:pos="238" w:leader="none"/>
      </w:tabs>
      <w:rPr>
        <w:rFonts w:hint="eastAsia" w:eastAsia="楷体_GB2312"/>
        <w:i/>
      </w:rPr>
    </w:pPr>
    <w:r>
      <w:rPr>
        <w:rFonts w:hint="eastAsia" w:eastAsia="楷体_GB2312"/>
        <w:i/>
      </w:rPr>
      <w:t xml:space="preserve">        </w:t>
    </w:r>
    <w:r>
      <w:rPr>
        <w:rFonts w:hint="eastAsia" w:eastAsia="楷体_GB2312"/>
        <w:iCs/>
      </w:rPr>
      <w:t xml:space="preserve">《南京市公路运输管理处安全监督管理制度体系及工作规范》课题研究服务</w:t>
    </w:r>
    <w:r/>
  </w:p>
  <w:p>
    <w:pPr>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-262255</wp:posOffset>
              </wp:positionH>
              <wp:positionV relativeFrom="paragraph">
                <wp:posOffset>-247015</wp:posOffset>
              </wp:positionV>
              <wp:extent cx="704850" cy="677545"/>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704850" cy="677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0.6pt;mso-position-horizontal:absolute;mso-position-vertical-relative:text;margin-top:-19.4pt;mso-position-vertical:absolute;width:55.5pt;height:53.3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lang w:eastAsia="zh-CN"/>
      </w:rPr>
      <w:t xml:space="preserve">南京市食品药品监督检验院仪器配件耗材采购</w:t>
    </w:r>
    <w:r>
      <w:rPr>
        <w:rFonts w:hint="eastAsia" w:ascii="楷体" w:hAnsi="楷体" w:eastAsia="楷体" w:cs="楷体"/>
        <w:iCs/>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29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291"/>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262"/>
      <w:isLgl w:val="false"/>
      <w:suff w:val="tab"/>
      <w:lvlText w:val="%1"/>
      <w:lvlJc w:val="left"/>
      <w:pPr>
        <w:ind w:left="567" w:hanging="567"/>
        <w:tabs>
          <w:tab w:val="left" w:pos="567" w:leader="none"/>
        </w:tabs>
      </w:pPr>
      <w:rPr>
        <w:rFonts w:hint="eastAsia"/>
      </w:rPr>
    </w:lvl>
    <w:lvl w:ilvl="1">
      <w:start w:val="1"/>
      <w:numFmt w:val="decimal"/>
      <w:pStyle w:val="1203"/>
      <w:isLgl w:val="false"/>
      <w:suff w:val="tab"/>
      <w:lvlText w:val="%1.%2"/>
      <w:lvlJc w:val="left"/>
      <w:pPr>
        <w:ind w:left="567" w:hanging="283"/>
        <w:tabs>
          <w:tab w:val="left" w:pos="1004" w:leader="none"/>
        </w:tabs>
      </w:pPr>
      <w:rPr>
        <w:rFonts w:hint="eastAsia"/>
      </w:rPr>
    </w:lvl>
    <w:lvl w:ilvl="2">
      <w:start w:val="1"/>
      <w:numFmt w:val="decimal"/>
      <w:pStyle w:val="1378"/>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decimal"/>
      <w:pStyle w:val="1264"/>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3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link w:val="1168"/>
    <w:uiPriority w:val="0"/>
    <w:qFormat/>
    <w:pPr>
      <w:jc w:val="both"/>
      <w:widowControl w:val="off"/>
    </w:pPr>
    <w:rPr>
      <w:rFonts w:hint="default" w:ascii="Calibri" w:hAnsi="Calibri" w:eastAsia="Calibri" w:cs="宋体"/>
      <w:lang w:val="zh-CN" w:eastAsia="zh-CN" w:bidi="ar-SA"/>
    </w:rPr>
  </w:style>
  <w:style w:type="paragraph" w:styleId="773">
    <w:name w:val="Heading 1"/>
    <w:basedOn w:val="772"/>
    <w:next w:val="772"/>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Body Text First Indent 2"/>
    <w:basedOn w:val="785"/>
    <w:uiPriority w:val="99"/>
    <w:qFormat/>
    <w:pPr>
      <w:ind w:left="420" w:firstLine="210"/>
      <w:spacing w:after="120" w:line="240" w:lineRule="auto"/>
    </w:pPr>
    <w:rPr>
      <w:rFonts w:ascii="Times New Roman" w:hAnsi="Times New Roman" w:eastAsia="仿宋_GB2312"/>
      <w:sz w:val="30"/>
    </w:rPr>
  </w:style>
  <w:style w:type="paragraph" w:styleId="785">
    <w:name w:val="Body Text Indent"/>
    <w:basedOn w:val="772"/>
    <w:uiPriority w:val="0"/>
    <w:qFormat/>
    <w:pPr>
      <w:ind w:firstLine="645"/>
    </w:pPr>
    <w:rPr>
      <w:rFonts w:ascii="楷体_GB2312" w:hAnsi="Times New Roman" w:eastAsia="楷体_GB2312" w:cs="Times New Roman"/>
      <w:sz w:val="32"/>
      <w:lang w:val="en-US"/>
    </w:rPr>
  </w:style>
  <w:style w:type="paragraph" w:styleId="786">
    <w:name w:val="toc 7"/>
    <w:basedOn w:val="772"/>
    <w:next w:val="772"/>
    <w:uiPriority w:val="39"/>
    <w:unhideWhenUsed/>
    <w:qFormat/>
    <w:pPr>
      <w:ind w:left="1701" w:right="0" w:firstLine="0"/>
      <w:spacing w:after="57"/>
    </w:pPr>
  </w:style>
  <w:style w:type="paragraph" w:styleId="787">
    <w:name w:val="Caption"/>
    <w:basedOn w:val="772"/>
    <w:next w:val="772"/>
    <w:uiPriority w:val="35"/>
    <w:semiHidden/>
    <w:unhideWhenUsed/>
    <w:qFormat/>
    <w:pPr>
      <w:spacing w:line="276" w:lineRule="auto"/>
    </w:pPr>
    <w:rPr>
      <w:b/>
      <w:bCs/>
      <w:color w:val="4f81bd" w:themeColor="accent1"/>
      <w:sz w:val="18"/>
      <w:szCs w:val="18"/>
    </w:rPr>
  </w:style>
  <w:style w:type="paragraph" w:styleId="788">
    <w:name w:val="annotation text"/>
    <w:basedOn w:val="772"/>
    <w:uiPriority w:val="99"/>
    <w:semiHidden/>
    <w:unhideWhenUsed/>
    <w:qFormat/>
    <w:pPr>
      <w:jc w:val="left"/>
    </w:pPr>
  </w:style>
  <w:style w:type="paragraph" w:styleId="789">
    <w:name w:val="Block Text"/>
    <w:basedOn w:val="772"/>
    <w:uiPriority w:val="99"/>
    <w:unhideWhenUsed/>
    <w:qFormat/>
    <w:pPr>
      <w:ind w:left="1440" w:right="1440"/>
      <w:spacing w:after="120"/>
    </w:pPr>
  </w:style>
  <w:style w:type="paragraph" w:styleId="790">
    <w:name w:val="toc 5"/>
    <w:basedOn w:val="772"/>
    <w:next w:val="772"/>
    <w:uiPriority w:val="39"/>
    <w:unhideWhenUsed/>
    <w:qFormat/>
    <w:pPr>
      <w:ind w:left="1134" w:right="0" w:firstLine="0"/>
      <w:spacing w:after="57"/>
    </w:pPr>
  </w:style>
  <w:style w:type="paragraph" w:styleId="791">
    <w:name w:val="toc 3"/>
    <w:basedOn w:val="772"/>
    <w:next w:val="772"/>
    <w:uiPriority w:val="39"/>
    <w:unhideWhenUsed/>
    <w:qFormat/>
    <w:pPr>
      <w:ind w:left="567" w:right="0" w:firstLine="0"/>
      <w:spacing w:after="57"/>
    </w:pPr>
  </w:style>
  <w:style w:type="paragraph" w:styleId="792">
    <w:name w:val="Plain Text"/>
    <w:basedOn w:val="772"/>
    <w:uiPriority w:val="0"/>
    <w:qFormat/>
    <w:rPr>
      <w:rFonts w:ascii="宋体" w:hAnsi="Courier New" w:eastAsia="宋体" w:cs="Times New Roman"/>
      <w:sz w:val="21"/>
      <w:lang w:val="en-US"/>
    </w:rPr>
  </w:style>
  <w:style w:type="paragraph" w:styleId="793">
    <w:name w:val="toc 8"/>
    <w:basedOn w:val="772"/>
    <w:next w:val="772"/>
    <w:uiPriority w:val="39"/>
    <w:unhideWhenUsed/>
    <w:qFormat/>
    <w:pPr>
      <w:ind w:left="1984" w:right="0" w:firstLine="0"/>
      <w:spacing w:after="57"/>
    </w:pPr>
  </w:style>
  <w:style w:type="paragraph" w:styleId="794">
    <w:name w:val="endnote text"/>
    <w:basedOn w:val="772"/>
    <w:uiPriority w:val="99"/>
    <w:semiHidden/>
    <w:unhideWhenUsed/>
    <w:qFormat/>
    <w:pPr>
      <w:spacing w:after="0" w:line="240" w:lineRule="auto"/>
    </w:pPr>
    <w:rPr>
      <w:sz w:val="20"/>
    </w:rPr>
  </w:style>
  <w:style w:type="paragraph" w:styleId="795">
    <w:name w:val="Footer"/>
    <w:basedOn w:val="772"/>
    <w:uiPriority w:val="99"/>
    <w:unhideWhenUsed/>
    <w:qFormat/>
    <w:pPr>
      <w:spacing w:after="0" w:line="240" w:lineRule="auto"/>
      <w:tabs>
        <w:tab w:val="center" w:pos="7143" w:leader="none"/>
        <w:tab w:val="right" w:pos="14287" w:leader="none"/>
      </w:tabs>
    </w:pPr>
  </w:style>
  <w:style w:type="paragraph" w:styleId="796">
    <w:name w:val="Header"/>
    <w:basedOn w:val="772"/>
    <w:uiPriority w:val="99"/>
    <w:unhideWhenUsed/>
    <w:qFormat/>
    <w:pPr>
      <w:spacing w:after="0" w:line="240" w:lineRule="auto"/>
      <w:tabs>
        <w:tab w:val="center" w:pos="7143" w:leader="none"/>
        <w:tab w:val="right" w:pos="14287" w:leader="none"/>
      </w:tabs>
    </w:pPr>
  </w:style>
  <w:style w:type="paragraph" w:styleId="797">
    <w:name w:val="toc 1"/>
    <w:basedOn w:val="772"/>
    <w:next w:val="772"/>
    <w:uiPriority w:val="39"/>
    <w:unhideWhenUsed/>
    <w:qFormat/>
    <w:pPr>
      <w:ind w:left="0" w:right="0" w:firstLine="0"/>
      <w:spacing w:after="57"/>
    </w:pPr>
  </w:style>
  <w:style w:type="paragraph" w:styleId="798">
    <w:name w:val="toc 4"/>
    <w:basedOn w:val="772"/>
    <w:next w:val="772"/>
    <w:uiPriority w:val="39"/>
    <w:unhideWhenUsed/>
    <w:qFormat/>
    <w:pPr>
      <w:ind w:left="850" w:right="0" w:firstLine="0"/>
      <w:spacing w:after="57"/>
    </w:pPr>
  </w:style>
  <w:style w:type="paragraph" w:styleId="799">
    <w:name w:val="Subtitle"/>
    <w:basedOn w:val="772"/>
    <w:next w:val="772"/>
    <w:uiPriority w:val="11"/>
    <w:qFormat/>
    <w:pPr>
      <w:spacing w:before="200" w:after="200"/>
    </w:pPr>
    <w:rPr>
      <w:sz w:val="24"/>
      <w:szCs w:val="24"/>
    </w:rPr>
  </w:style>
  <w:style w:type="paragraph" w:styleId="800">
    <w:name w:val="footnote text"/>
    <w:basedOn w:val="772"/>
    <w:uiPriority w:val="99"/>
    <w:semiHidden/>
    <w:unhideWhenUsed/>
    <w:qFormat/>
    <w:pPr>
      <w:spacing w:after="40" w:line="240" w:lineRule="auto"/>
    </w:pPr>
    <w:rPr>
      <w:sz w:val="18"/>
    </w:rPr>
  </w:style>
  <w:style w:type="paragraph" w:styleId="801">
    <w:name w:val="toc 6"/>
    <w:basedOn w:val="772"/>
    <w:next w:val="772"/>
    <w:uiPriority w:val="39"/>
    <w:unhideWhenUsed/>
    <w:qFormat/>
    <w:pPr>
      <w:ind w:left="1417" w:right="0" w:firstLine="0"/>
      <w:spacing w:after="57"/>
    </w:pPr>
  </w:style>
  <w:style w:type="paragraph" w:styleId="802">
    <w:name w:val="table of figures"/>
    <w:basedOn w:val="772"/>
    <w:next w:val="772"/>
    <w:uiPriority w:val="99"/>
    <w:unhideWhenUsed/>
    <w:qFormat/>
    <w:pPr>
      <w:spacing w:after="0" w:afterAutospacing="0"/>
    </w:pPr>
  </w:style>
  <w:style w:type="paragraph" w:styleId="803">
    <w:name w:val="toc 2"/>
    <w:basedOn w:val="772"/>
    <w:next w:val="772"/>
    <w:uiPriority w:val="39"/>
    <w:unhideWhenUsed/>
    <w:qFormat/>
    <w:pPr>
      <w:ind w:left="283" w:right="0" w:firstLine="0"/>
      <w:spacing w:after="57"/>
    </w:pPr>
  </w:style>
  <w:style w:type="paragraph" w:styleId="804">
    <w:name w:val="toc 9"/>
    <w:basedOn w:val="772"/>
    <w:next w:val="772"/>
    <w:uiPriority w:val="39"/>
    <w:unhideWhenUsed/>
    <w:qFormat/>
    <w:pPr>
      <w:ind w:left="2268" w:right="0" w:firstLine="0"/>
      <w:spacing w:after="57"/>
    </w:pPr>
  </w:style>
  <w:style w:type="paragraph" w:styleId="805">
    <w:name w:val="Title"/>
    <w:basedOn w:val="772"/>
    <w:next w:val="772"/>
    <w:uiPriority w:val="10"/>
    <w:qFormat/>
    <w:pPr>
      <w:contextualSpacing/>
      <w:spacing w:before="300" w:after="200"/>
    </w:pPr>
    <w:rPr>
      <w:sz w:val="48"/>
      <w:szCs w:val="48"/>
    </w:rPr>
  </w:style>
  <w:style w:type="table" w:styleId="8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endnote reference"/>
    <w:uiPriority w:val="99"/>
    <w:semiHidden/>
    <w:unhideWhenUsed/>
    <w:qFormat/>
    <w:rPr>
      <w:vertAlign w:val="superscript"/>
    </w:rPr>
  </w:style>
  <w:style w:type="character" w:styleId="808">
    <w:name w:val="Hyperlink"/>
    <w:uiPriority w:val="99"/>
    <w:unhideWhenUsed/>
    <w:qFormat/>
    <w:rPr>
      <w:color w:val="0000ff" w:themeColor="hyperlink"/>
      <w:u w:val="single"/>
    </w:rPr>
  </w:style>
  <w:style w:type="character" w:styleId="809">
    <w:name w:val="footnote reference"/>
    <w:uiPriority w:val="99"/>
    <w:unhideWhenUsed/>
    <w:qFormat/>
    <w:rPr>
      <w:vertAlign w:val="superscript"/>
    </w:rPr>
  </w:style>
  <w:style w:type="paragraph" w:styleId="810" w:customStyle="1">
    <w:name w:val="正文首行缩进 21"/>
    <w:basedOn w:val="811"/>
    <w:uiPriority w:val="0"/>
    <w:qFormat/>
    <w:pPr>
      <w:ind w:firstLine="420"/>
    </w:pPr>
  </w:style>
  <w:style w:type="paragraph" w:styleId="811" w:customStyle="1">
    <w:name w:val="正文文本缩进1"/>
    <w:basedOn w:val="772"/>
    <w:uiPriority w:val="0"/>
    <w:qFormat/>
    <w:pPr>
      <w:ind w:left="420"/>
      <w:spacing w:after="120"/>
    </w:pPr>
    <w:rPr>
      <w:szCs w:val="24"/>
    </w:rPr>
  </w:style>
  <w:style w:type="paragraph" w:styleId="812" w:customStyle="1">
    <w:name w:val="标题 111"/>
    <w:basedOn w:val="772"/>
    <w:next w:val="772"/>
    <w:link w:val="823"/>
    <w:uiPriority w:val="9"/>
    <w:qFormat/>
    <w:pPr>
      <w:keepLines/>
      <w:keepNext/>
      <w:spacing w:before="480" w:after="200"/>
      <w:outlineLvl w:val="0"/>
    </w:pPr>
    <w:rPr>
      <w:rFonts w:ascii="Arial" w:hAnsi="Arial" w:eastAsia="Arial" w:cs="Arial"/>
      <w:sz w:val="40"/>
      <w:szCs w:val="40"/>
    </w:rPr>
  </w:style>
  <w:style w:type="paragraph" w:styleId="813" w:customStyle="1">
    <w:name w:val="标题 211"/>
    <w:basedOn w:val="772"/>
    <w:next w:val="772"/>
    <w:link w:val="824"/>
    <w:uiPriority w:val="9"/>
    <w:unhideWhenUsed/>
    <w:qFormat/>
    <w:pPr>
      <w:keepLines/>
      <w:keepNext/>
      <w:spacing w:before="360" w:after="200"/>
      <w:outlineLvl w:val="1"/>
    </w:pPr>
    <w:rPr>
      <w:rFonts w:ascii="Arial" w:hAnsi="Arial" w:eastAsia="Arial" w:cs="Arial"/>
      <w:sz w:val="34"/>
    </w:rPr>
  </w:style>
  <w:style w:type="paragraph" w:styleId="814" w:customStyle="1">
    <w:name w:val="标题 311"/>
    <w:basedOn w:val="772"/>
    <w:next w:val="772"/>
    <w:link w:val="825"/>
    <w:uiPriority w:val="9"/>
    <w:unhideWhenUsed/>
    <w:qFormat/>
    <w:pPr>
      <w:keepLines/>
      <w:keepNext/>
      <w:spacing w:before="320" w:after="200"/>
      <w:outlineLvl w:val="2"/>
    </w:pPr>
    <w:rPr>
      <w:rFonts w:ascii="Arial" w:hAnsi="Arial" w:eastAsia="Arial" w:cs="Arial"/>
      <w:sz w:val="30"/>
      <w:szCs w:val="30"/>
    </w:rPr>
  </w:style>
  <w:style w:type="paragraph" w:styleId="815" w:customStyle="1">
    <w:name w:val="标题 411"/>
    <w:basedOn w:val="772"/>
    <w:next w:val="772"/>
    <w:link w:val="826"/>
    <w:uiPriority w:val="9"/>
    <w:unhideWhenUsed/>
    <w:qFormat/>
    <w:pPr>
      <w:keepLines/>
      <w:keepNext/>
      <w:spacing w:before="320" w:after="200"/>
      <w:outlineLvl w:val="3"/>
    </w:pPr>
    <w:rPr>
      <w:rFonts w:ascii="Arial" w:hAnsi="Arial" w:eastAsia="Arial" w:cs="Arial"/>
      <w:b/>
      <w:bCs/>
      <w:sz w:val="26"/>
      <w:szCs w:val="26"/>
    </w:rPr>
  </w:style>
  <w:style w:type="paragraph" w:styleId="816" w:customStyle="1">
    <w:name w:val="标题 511"/>
    <w:basedOn w:val="772"/>
    <w:next w:val="772"/>
    <w:link w:val="827"/>
    <w:uiPriority w:val="9"/>
    <w:unhideWhenUsed/>
    <w:qFormat/>
    <w:pPr>
      <w:keepLines/>
      <w:keepNext/>
      <w:spacing w:before="320" w:after="200"/>
      <w:outlineLvl w:val="4"/>
    </w:pPr>
    <w:rPr>
      <w:rFonts w:ascii="Arial" w:hAnsi="Arial" w:eastAsia="Arial" w:cs="Arial"/>
      <w:b/>
      <w:bCs/>
      <w:sz w:val="24"/>
      <w:szCs w:val="24"/>
    </w:rPr>
  </w:style>
  <w:style w:type="paragraph" w:styleId="817" w:customStyle="1">
    <w:name w:val="标题 611"/>
    <w:basedOn w:val="772"/>
    <w:next w:val="772"/>
    <w:link w:val="828"/>
    <w:uiPriority w:val="9"/>
    <w:unhideWhenUsed/>
    <w:qFormat/>
    <w:pPr>
      <w:keepLines/>
      <w:keepNext/>
      <w:spacing w:before="320" w:after="200"/>
      <w:outlineLvl w:val="5"/>
    </w:pPr>
    <w:rPr>
      <w:rFonts w:ascii="Arial" w:hAnsi="Arial" w:eastAsia="Arial" w:cs="Arial"/>
      <w:b/>
      <w:bCs/>
      <w:sz w:val="22"/>
      <w:szCs w:val="22"/>
    </w:rPr>
  </w:style>
  <w:style w:type="paragraph" w:styleId="818" w:customStyle="1">
    <w:name w:val="标题 711"/>
    <w:basedOn w:val="772"/>
    <w:next w:val="772"/>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819" w:customStyle="1">
    <w:name w:val="标题 811"/>
    <w:basedOn w:val="772"/>
    <w:next w:val="772"/>
    <w:link w:val="830"/>
    <w:uiPriority w:val="9"/>
    <w:unhideWhenUsed/>
    <w:qFormat/>
    <w:pPr>
      <w:keepLines/>
      <w:keepNext/>
      <w:spacing w:before="320" w:after="200"/>
      <w:outlineLvl w:val="7"/>
    </w:pPr>
    <w:rPr>
      <w:rFonts w:ascii="Arial" w:hAnsi="Arial" w:eastAsia="Arial" w:cs="Arial"/>
      <w:i/>
      <w:iCs/>
      <w:sz w:val="22"/>
      <w:szCs w:val="22"/>
    </w:rPr>
  </w:style>
  <w:style w:type="paragraph" w:styleId="820" w:customStyle="1">
    <w:name w:val="标题 911"/>
    <w:basedOn w:val="772"/>
    <w:next w:val="772"/>
    <w:link w:val="831"/>
    <w:uiPriority w:val="9"/>
    <w:unhideWhenUsed/>
    <w:qFormat/>
    <w:pPr>
      <w:keepLines/>
      <w:keepNext/>
      <w:spacing w:before="320" w:after="200"/>
      <w:outlineLvl w:val="8"/>
    </w:pPr>
    <w:rPr>
      <w:rFonts w:ascii="Arial" w:hAnsi="Arial" w:eastAsia="Arial" w:cs="Arial"/>
      <w:i/>
      <w:iCs/>
      <w:sz w:val="21"/>
      <w:szCs w:val="21"/>
    </w:rPr>
  </w:style>
  <w:style w:type="character" w:styleId="821" w:customStyle="1">
    <w:name w:val="默认段落字体11"/>
    <w:link w:val="772"/>
    <w:uiPriority w:val="1"/>
    <w:unhideWhenUsed/>
    <w:qFormat/>
  </w:style>
  <w:style w:type="table" w:styleId="822" w:customStyle="1">
    <w:name w:val="普通表格11"/>
    <w:uiPriority w:val="99"/>
    <w:unhideWhenUsed/>
    <w:qFormat/>
    <w:tblPr/>
  </w:style>
  <w:style w:type="character" w:styleId="823" w:customStyle="1">
    <w:name w:val="Heading 1 Char"/>
    <w:link w:val="812"/>
    <w:uiPriority w:val="9"/>
    <w:qFormat/>
    <w:rPr>
      <w:rFonts w:ascii="Arial" w:hAnsi="Arial" w:eastAsia="Arial" w:cs="Arial"/>
      <w:sz w:val="40"/>
      <w:szCs w:val="40"/>
    </w:rPr>
  </w:style>
  <w:style w:type="character" w:styleId="824" w:customStyle="1">
    <w:name w:val="Heading 2 Char"/>
    <w:link w:val="813"/>
    <w:uiPriority w:val="9"/>
    <w:qFormat/>
    <w:rPr>
      <w:rFonts w:ascii="Arial" w:hAnsi="Arial" w:eastAsia="Arial" w:cs="Arial"/>
      <w:sz w:val="34"/>
    </w:rPr>
  </w:style>
  <w:style w:type="character" w:styleId="825" w:customStyle="1">
    <w:name w:val="Heading 3 Char"/>
    <w:link w:val="814"/>
    <w:uiPriority w:val="9"/>
    <w:qFormat/>
    <w:rPr>
      <w:rFonts w:ascii="Arial" w:hAnsi="Arial" w:eastAsia="Arial" w:cs="Arial"/>
      <w:sz w:val="30"/>
      <w:szCs w:val="30"/>
    </w:rPr>
  </w:style>
  <w:style w:type="character" w:styleId="826" w:customStyle="1">
    <w:name w:val="Heading 4 Char"/>
    <w:link w:val="815"/>
    <w:uiPriority w:val="9"/>
    <w:qFormat/>
    <w:rPr>
      <w:rFonts w:ascii="Arial" w:hAnsi="Arial" w:eastAsia="Arial" w:cs="Arial"/>
      <w:b/>
      <w:bCs/>
      <w:sz w:val="26"/>
      <w:szCs w:val="26"/>
    </w:rPr>
  </w:style>
  <w:style w:type="character" w:styleId="827" w:customStyle="1">
    <w:name w:val="Heading 5 Char"/>
    <w:link w:val="816"/>
    <w:uiPriority w:val="9"/>
    <w:qFormat/>
    <w:rPr>
      <w:rFonts w:ascii="Arial" w:hAnsi="Arial" w:eastAsia="Arial" w:cs="Arial"/>
      <w:b/>
      <w:bCs/>
      <w:sz w:val="24"/>
      <w:szCs w:val="24"/>
    </w:rPr>
  </w:style>
  <w:style w:type="character" w:styleId="828" w:customStyle="1">
    <w:name w:val="Heading 6 Char"/>
    <w:link w:val="817"/>
    <w:uiPriority w:val="9"/>
    <w:qFormat/>
    <w:rPr>
      <w:rFonts w:ascii="Arial" w:hAnsi="Arial" w:eastAsia="Arial" w:cs="Arial"/>
      <w:b/>
      <w:bCs/>
      <w:sz w:val="22"/>
      <w:szCs w:val="22"/>
    </w:rPr>
  </w:style>
  <w:style w:type="character" w:styleId="829" w:customStyle="1">
    <w:name w:val="Heading 7 Char"/>
    <w:link w:val="818"/>
    <w:uiPriority w:val="9"/>
    <w:qFormat/>
    <w:rPr>
      <w:rFonts w:ascii="Arial" w:hAnsi="Arial" w:eastAsia="Arial" w:cs="Arial"/>
      <w:b/>
      <w:bCs/>
      <w:i/>
      <w:iCs/>
      <w:sz w:val="22"/>
      <w:szCs w:val="22"/>
    </w:rPr>
  </w:style>
  <w:style w:type="character" w:styleId="830" w:customStyle="1">
    <w:name w:val="Heading 8 Char"/>
    <w:link w:val="819"/>
    <w:uiPriority w:val="9"/>
    <w:qFormat/>
    <w:rPr>
      <w:rFonts w:ascii="Arial" w:hAnsi="Arial" w:eastAsia="Arial" w:cs="Arial"/>
      <w:i/>
      <w:iCs/>
      <w:sz w:val="22"/>
      <w:szCs w:val="22"/>
    </w:rPr>
  </w:style>
  <w:style w:type="character" w:styleId="831" w:customStyle="1">
    <w:name w:val="Heading 9 Char"/>
    <w:link w:val="820"/>
    <w:uiPriority w:val="9"/>
    <w:qFormat/>
    <w:rPr>
      <w:rFonts w:ascii="Arial" w:hAnsi="Arial" w:eastAsia="Arial" w:cs="Arial"/>
      <w:i/>
      <w:iCs/>
      <w:sz w:val="21"/>
      <w:szCs w:val="21"/>
    </w:rPr>
  </w:style>
  <w:style w:type="paragraph" w:styleId="832" w:customStyle="1">
    <w:name w:val="目录 711"/>
    <w:basedOn w:val="772"/>
    <w:next w:val="772"/>
    <w:uiPriority w:val="39"/>
    <w:unhideWhenUsed/>
    <w:qFormat/>
    <w:pPr>
      <w:ind w:left="1701" w:right="0" w:firstLine="0"/>
      <w:spacing w:after="57"/>
    </w:pPr>
  </w:style>
  <w:style w:type="paragraph" w:styleId="833" w:customStyle="1">
    <w:name w:val="正文缩进11"/>
    <w:basedOn w:val="772"/>
    <w:link w:val="834"/>
    <w:uiPriority w:val="0"/>
    <w:qFormat/>
    <w:pPr>
      <w:ind w:firstLine="420"/>
    </w:pPr>
    <w:rPr>
      <w:rFonts w:ascii="Times New Roman" w:hAnsi="Times New Roman" w:eastAsia="宋体" w:cs="Times New Roman"/>
    </w:rPr>
  </w:style>
  <w:style w:type="character" w:styleId="834" w:customStyle="1">
    <w:name w:val="正文缩进 Char1"/>
    <w:link w:val="833"/>
    <w:uiPriority w:val="0"/>
    <w:qFormat/>
    <w:rPr>
      <w:rFonts w:eastAsia="宋体"/>
      <w:lang w:bidi="ar-SA"/>
    </w:rPr>
  </w:style>
  <w:style w:type="paragraph" w:styleId="835" w:customStyle="1">
    <w:name w:val="题注1"/>
    <w:basedOn w:val="772"/>
    <w:next w:val="772"/>
    <w:uiPriority w:val="35"/>
    <w:unhideWhenUsed/>
    <w:qFormat/>
    <w:pPr>
      <w:spacing w:line="276" w:lineRule="auto"/>
    </w:pPr>
    <w:rPr>
      <w:b/>
      <w:bCs/>
      <w:color w:val="4f81bd"/>
      <w:sz w:val="18"/>
      <w:szCs w:val="18"/>
    </w:rPr>
  </w:style>
  <w:style w:type="paragraph" w:styleId="836" w:customStyle="1">
    <w:name w:val="批注文字11"/>
    <w:basedOn w:val="772"/>
    <w:uiPriority w:val="99"/>
    <w:unhideWhenUsed/>
    <w:qFormat/>
    <w:pPr>
      <w:jc w:val="left"/>
    </w:pPr>
  </w:style>
  <w:style w:type="paragraph" w:styleId="837" w:customStyle="1">
    <w:name w:val="正文文本11"/>
    <w:basedOn w:val="772"/>
    <w:next w:val="772"/>
    <w:uiPriority w:val="1"/>
    <w:qFormat/>
    <w:rPr>
      <w:rFonts w:ascii="宋体" w:hAnsi="宋体" w:eastAsia="宋体" w:cs="宋体"/>
      <w:sz w:val="21"/>
      <w:szCs w:val="21"/>
      <w:lang w:val="zh-CN" w:eastAsia="zh-CN" w:bidi="zh-CN"/>
    </w:rPr>
  </w:style>
  <w:style w:type="paragraph" w:styleId="838" w:customStyle="1">
    <w:name w:val="正文文本缩进2"/>
    <w:basedOn w:val="772"/>
    <w:uiPriority w:val="0"/>
    <w:qFormat/>
    <w:pPr>
      <w:ind w:firstLine="574"/>
      <w:spacing w:line="312" w:lineRule="atLeast"/>
    </w:pPr>
    <w:rPr>
      <w:rFonts w:ascii="宋体"/>
      <w:sz w:val="28"/>
    </w:rPr>
  </w:style>
  <w:style w:type="paragraph" w:styleId="839" w:customStyle="1">
    <w:name w:val="目录 511"/>
    <w:basedOn w:val="772"/>
    <w:next w:val="772"/>
    <w:uiPriority w:val="39"/>
    <w:unhideWhenUsed/>
    <w:qFormat/>
    <w:pPr>
      <w:ind w:left="1134" w:right="0" w:firstLine="0"/>
      <w:spacing w:after="57"/>
    </w:pPr>
  </w:style>
  <w:style w:type="paragraph" w:styleId="840" w:customStyle="1">
    <w:name w:val="目录 311"/>
    <w:basedOn w:val="772"/>
    <w:next w:val="772"/>
    <w:uiPriority w:val="39"/>
    <w:unhideWhenUsed/>
    <w:qFormat/>
    <w:pPr>
      <w:ind w:left="567" w:right="0" w:firstLine="0"/>
      <w:spacing w:after="57"/>
    </w:pPr>
  </w:style>
  <w:style w:type="paragraph" w:styleId="841" w:customStyle="1">
    <w:name w:val="目录 811"/>
    <w:basedOn w:val="772"/>
    <w:next w:val="772"/>
    <w:uiPriority w:val="39"/>
    <w:unhideWhenUsed/>
    <w:qFormat/>
    <w:pPr>
      <w:ind w:left="1984" w:right="0" w:firstLine="0"/>
      <w:spacing w:after="57"/>
    </w:pPr>
  </w:style>
  <w:style w:type="paragraph" w:styleId="842" w:customStyle="1">
    <w:name w:val="正文文本缩进 211"/>
    <w:basedOn w:val="772"/>
    <w:uiPriority w:val="0"/>
    <w:qFormat/>
    <w:pPr>
      <w:ind w:left="630" w:firstLine="645"/>
    </w:pPr>
    <w:rPr>
      <w:rFonts w:ascii="Arial" w:hAnsi="Arial" w:eastAsia="仿宋_GB2312" w:cs="Times New Roman"/>
      <w:sz w:val="32"/>
      <w:lang w:val="en-US"/>
    </w:rPr>
  </w:style>
  <w:style w:type="paragraph" w:styleId="843" w:customStyle="1">
    <w:name w:val="尾注文本11"/>
    <w:basedOn w:val="772"/>
    <w:link w:val="844"/>
    <w:uiPriority w:val="99"/>
    <w:unhideWhenUsed/>
    <w:qFormat/>
    <w:pPr>
      <w:spacing w:after="0" w:line="240" w:lineRule="auto"/>
    </w:pPr>
    <w:rPr>
      <w:sz w:val="20"/>
    </w:rPr>
  </w:style>
  <w:style w:type="character" w:styleId="844" w:customStyle="1">
    <w:name w:val="Endnote Text Char"/>
    <w:link w:val="843"/>
    <w:uiPriority w:val="99"/>
    <w:qFormat/>
    <w:rPr>
      <w:sz w:val="20"/>
    </w:rPr>
  </w:style>
  <w:style w:type="paragraph" w:styleId="845" w:customStyle="1">
    <w:name w:val="页脚11"/>
    <w:basedOn w:val="772"/>
    <w:link w:val="867"/>
    <w:uiPriority w:val="99"/>
    <w:unhideWhenUsed/>
    <w:qFormat/>
    <w:pPr>
      <w:spacing w:after="0" w:line="240" w:lineRule="auto"/>
      <w:tabs>
        <w:tab w:val="center" w:pos="7143" w:leader="none"/>
        <w:tab w:val="right" w:pos="14287" w:leader="none"/>
      </w:tabs>
    </w:pPr>
  </w:style>
  <w:style w:type="character" w:styleId="846" w:customStyle="1">
    <w:name w:val="Caption Char"/>
    <w:link w:val="845"/>
    <w:uiPriority w:val="99"/>
    <w:qFormat/>
  </w:style>
  <w:style w:type="paragraph" w:styleId="847" w:customStyle="1">
    <w:name w:val="页眉11"/>
    <w:basedOn w:val="772"/>
    <w:link w:val="848"/>
    <w:uiPriority w:val="99"/>
    <w:unhideWhenUsed/>
    <w:qFormat/>
    <w:pPr>
      <w:spacing w:after="0" w:line="240" w:lineRule="auto"/>
      <w:tabs>
        <w:tab w:val="center" w:pos="7143" w:leader="none"/>
        <w:tab w:val="right" w:pos="14287" w:leader="none"/>
      </w:tabs>
    </w:pPr>
  </w:style>
  <w:style w:type="character" w:styleId="848" w:customStyle="1">
    <w:name w:val="Header Char"/>
    <w:link w:val="847"/>
    <w:uiPriority w:val="99"/>
    <w:qFormat/>
  </w:style>
  <w:style w:type="paragraph" w:styleId="849" w:customStyle="1">
    <w:name w:val="目录 111"/>
    <w:basedOn w:val="772"/>
    <w:next w:val="772"/>
    <w:uiPriority w:val="39"/>
    <w:unhideWhenUsed/>
    <w:qFormat/>
    <w:pPr>
      <w:ind w:left="0" w:right="0" w:firstLine="0"/>
      <w:spacing w:after="57"/>
    </w:pPr>
  </w:style>
  <w:style w:type="paragraph" w:styleId="850" w:customStyle="1">
    <w:name w:val="目录 411"/>
    <w:basedOn w:val="772"/>
    <w:next w:val="772"/>
    <w:uiPriority w:val="39"/>
    <w:unhideWhenUsed/>
    <w:qFormat/>
    <w:pPr>
      <w:ind w:left="850" w:right="0" w:firstLine="0"/>
      <w:spacing w:after="57"/>
    </w:pPr>
  </w:style>
  <w:style w:type="paragraph" w:styleId="851" w:customStyle="1">
    <w:name w:val="副标题11"/>
    <w:basedOn w:val="772"/>
    <w:next w:val="772"/>
    <w:link w:val="852"/>
    <w:uiPriority w:val="11"/>
    <w:qFormat/>
    <w:pPr>
      <w:spacing w:before="200" w:after="200"/>
    </w:pPr>
    <w:rPr>
      <w:sz w:val="24"/>
      <w:szCs w:val="24"/>
    </w:rPr>
  </w:style>
  <w:style w:type="character" w:styleId="852" w:customStyle="1">
    <w:name w:val="Subtitle Char"/>
    <w:link w:val="851"/>
    <w:uiPriority w:val="11"/>
    <w:qFormat/>
    <w:rPr>
      <w:sz w:val="24"/>
      <w:szCs w:val="24"/>
    </w:rPr>
  </w:style>
  <w:style w:type="paragraph" w:styleId="853" w:customStyle="1">
    <w:name w:val="脚注文本11"/>
    <w:basedOn w:val="772"/>
    <w:link w:val="854"/>
    <w:uiPriority w:val="99"/>
    <w:unhideWhenUsed/>
    <w:qFormat/>
    <w:pPr>
      <w:spacing w:after="40" w:line="240" w:lineRule="auto"/>
    </w:pPr>
    <w:rPr>
      <w:sz w:val="18"/>
    </w:rPr>
  </w:style>
  <w:style w:type="character" w:styleId="854" w:customStyle="1">
    <w:name w:val="Footnote Text Char"/>
    <w:link w:val="853"/>
    <w:uiPriority w:val="99"/>
    <w:qFormat/>
    <w:rPr>
      <w:sz w:val="18"/>
    </w:rPr>
  </w:style>
  <w:style w:type="paragraph" w:styleId="855" w:customStyle="1">
    <w:name w:val="目录 611"/>
    <w:basedOn w:val="772"/>
    <w:next w:val="772"/>
    <w:uiPriority w:val="39"/>
    <w:unhideWhenUsed/>
    <w:qFormat/>
    <w:pPr>
      <w:ind w:left="1417" w:right="0" w:firstLine="0"/>
      <w:spacing w:after="57"/>
    </w:pPr>
  </w:style>
  <w:style w:type="paragraph" w:styleId="856" w:customStyle="1">
    <w:name w:val="正文文本缩进 311"/>
    <w:basedOn w:val="772"/>
    <w:uiPriority w:val="0"/>
    <w:qFormat/>
    <w:pPr>
      <w:ind w:firstLine="504"/>
      <w:spacing w:line="360" w:lineRule="auto"/>
      <w:tabs>
        <w:tab w:val="left" w:pos="0" w:leader="none"/>
      </w:tabs>
    </w:pPr>
    <w:rPr>
      <w:rFonts w:ascii="宋体"/>
      <w:b/>
      <w:bCs/>
      <w:sz w:val="24"/>
      <w:szCs w:val="24"/>
    </w:rPr>
  </w:style>
  <w:style w:type="paragraph" w:styleId="857" w:customStyle="1">
    <w:name w:val="图表目录11"/>
    <w:basedOn w:val="772"/>
    <w:next w:val="772"/>
    <w:uiPriority w:val="99"/>
    <w:unhideWhenUsed/>
    <w:qFormat/>
    <w:pPr>
      <w:spacing w:after="0" w:afterAutospacing="0"/>
    </w:pPr>
  </w:style>
  <w:style w:type="paragraph" w:styleId="858" w:customStyle="1">
    <w:name w:val="目录 211"/>
    <w:basedOn w:val="772"/>
    <w:next w:val="772"/>
    <w:uiPriority w:val="39"/>
    <w:unhideWhenUsed/>
    <w:qFormat/>
    <w:pPr>
      <w:ind w:left="283" w:right="0" w:firstLine="0"/>
      <w:spacing w:after="57"/>
    </w:pPr>
  </w:style>
  <w:style w:type="paragraph" w:styleId="859" w:customStyle="1">
    <w:name w:val="目录 911"/>
    <w:basedOn w:val="772"/>
    <w:next w:val="772"/>
    <w:uiPriority w:val="39"/>
    <w:unhideWhenUsed/>
    <w:qFormat/>
    <w:pPr>
      <w:ind w:left="2268" w:right="0" w:firstLine="0"/>
      <w:spacing w:after="57"/>
    </w:pPr>
  </w:style>
  <w:style w:type="paragraph" w:styleId="860" w:customStyle="1">
    <w:name w:val="正文文本 212"/>
    <w:basedOn w:val="772"/>
    <w:uiPriority w:val="0"/>
    <w:qFormat/>
    <w:pPr>
      <w:ind w:left="720" w:hanging="720"/>
      <w:widowControl/>
    </w:pPr>
    <w:rPr>
      <w:sz w:val="24"/>
      <w:lang w:val="en-GB"/>
    </w:rPr>
  </w:style>
  <w:style w:type="paragraph" w:styleId="861" w:customStyle="1">
    <w:name w:val="标题11"/>
    <w:basedOn w:val="772"/>
    <w:next w:val="772"/>
    <w:link w:val="862"/>
    <w:uiPriority w:val="10"/>
    <w:qFormat/>
    <w:pPr>
      <w:contextualSpacing/>
      <w:spacing w:before="300" w:after="200"/>
    </w:pPr>
    <w:rPr>
      <w:sz w:val="48"/>
      <w:szCs w:val="48"/>
    </w:rPr>
  </w:style>
  <w:style w:type="character" w:styleId="862" w:customStyle="1">
    <w:name w:val="Title Char"/>
    <w:link w:val="861"/>
    <w:uiPriority w:val="10"/>
    <w:qFormat/>
    <w:rPr>
      <w:sz w:val="48"/>
      <w:szCs w:val="48"/>
    </w:rPr>
  </w:style>
  <w:style w:type="table" w:styleId="863" w:customStyle="1">
    <w:name w:val="网格型11"/>
    <w:uiPriority w:val="59"/>
    <w:qFormat/>
    <w:pPr>
      <w:spacing w:after="0" w:line="240" w:lineRule="auto"/>
    </w:pPr>
    <w:tblPr/>
  </w:style>
  <w:style w:type="character" w:styleId="864" w:customStyle="1">
    <w:name w:val="尾注引用11"/>
    <w:link w:val="772"/>
    <w:uiPriority w:val="99"/>
    <w:unhideWhenUsed/>
    <w:qFormat/>
    <w:rPr>
      <w:vertAlign w:val="superscript"/>
    </w:rPr>
  </w:style>
  <w:style w:type="character" w:styleId="865" w:customStyle="1">
    <w:name w:val="超链接11"/>
    <w:link w:val="772"/>
    <w:uiPriority w:val="99"/>
    <w:unhideWhenUsed/>
    <w:qFormat/>
    <w:rPr>
      <w:color w:val="0000ff"/>
      <w:u w:val="single"/>
    </w:rPr>
  </w:style>
  <w:style w:type="character" w:styleId="866" w:customStyle="1">
    <w:name w:val="脚注引用11"/>
    <w:link w:val="772"/>
    <w:uiPriority w:val="99"/>
    <w:unhideWhenUsed/>
    <w:qFormat/>
    <w:rPr>
      <w:vertAlign w:val="superscript"/>
    </w:rPr>
  </w:style>
  <w:style w:type="character" w:styleId="867" w:customStyle="1">
    <w:name w:val="Footer Char"/>
    <w:link w:val="845"/>
    <w:uiPriority w:val="99"/>
    <w:qFormat/>
  </w:style>
  <w:style w:type="character" w:styleId="868" w:customStyle="1">
    <w:name w:val="font21"/>
    <w:link w:val="772"/>
    <w:uiPriority w:val="0"/>
    <w:qFormat/>
    <w:rPr>
      <w:rFonts w:ascii="Times New Roman" w:hAnsi="Times New Roman" w:cs="Times New Roman"/>
      <w:color w:val="000000"/>
      <w:sz w:val="22"/>
      <w:szCs w:val="22"/>
      <w:u w:val="none"/>
    </w:rPr>
  </w:style>
  <w:style w:type="paragraph" w:styleId="869">
    <w:name w:val="Quote"/>
    <w:basedOn w:val="772"/>
    <w:next w:val="772"/>
    <w:link w:val="870"/>
    <w:uiPriority w:val="29"/>
    <w:qFormat/>
    <w:pPr>
      <w:ind w:left="720" w:right="720"/>
    </w:pPr>
    <w:rPr>
      <w:i/>
    </w:rPr>
  </w:style>
  <w:style w:type="character" w:styleId="870" w:customStyle="1">
    <w:name w:val="Quote Char"/>
    <w:link w:val="869"/>
    <w:uiPriority w:val="29"/>
    <w:qFormat/>
    <w:rPr>
      <w:i/>
    </w:rPr>
  </w:style>
  <w:style w:type="paragraph" w:styleId="871">
    <w:name w:val="Intense Quote"/>
    <w:basedOn w:val="772"/>
    <w:next w:val="772"/>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Intense Quote Char"/>
    <w:link w:val="871"/>
    <w:uiPriority w:val="30"/>
    <w:qFormat/>
    <w:rPr>
      <w:i/>
    </w:rPr>
  </w:style>
  <w:style w:type="table" w:styleId="873" w:customStyle="1">
    <w:name w:val="Table Grid Light"/>
    <w:uiPriority w:val="59"/>
    <w:qFormat/>
    <w:pPr>
      <w:spacing w:after="0" w:line="240" w:lineRule="auto"/>
    </w:pPr>
    <w:tblPr/>
  </w:style>
  <w:style w:type="table" w:styleId="874" w:customStyle="1">
    <w:name w:val="Plain Table 1"/>
    <w:uiPriority w:val="59"/>
    <w:qFormat/>
    <w:pPr>
      <w:spacing w:after="0" w:line="240" w:lineRule="auto"/>
    </w:pPr>
    <w:tblPr/>
  </w:style>
  <w:style w:type="table" w:styleId="875" w:customStyle="1">
    <w:name w:val="Plain Table 2"/>
    <w:uiPriority w:val="59"/>
    <w:qFormat/>
    <w:pPr>
      <w:spacing w:after="0" w:line="240" w:lineRule="auto"/>
    </w:pPr>
    <w:tblPr/>
  </w:style>
  <w:style w:type="table" w:styleId="876" w:customStyle="1">
    <w:name w:val="Plain Table 3"/>
    <w:uiPriority w:val="99"/>
    <w:qFormat/>
    <w:pPr>
      <w:spacing w:after="0" w:line="240" w:lineRule="auto"/>
    </w:pPr>
    <w:tblPr/>
  </w:style>
  <w:style w:type="table" w:styleId="877" w:customStyle="1">
    <w:name w:val="Plain Table 4"/>
    <w:uiPriority w:val="99"/>
    <w:qFormat/>
    <w:pPr>
      <w:spacing w:after="0" w:line="240" w:lineRule="auto"/>
    </w:pPr>
    <w:tblPr/>
  </w:style>
  <w:style w:type="table" w:styleId="878" w:customStyle="1">
    <w:name w:val="Plain Table 5"/>
    <w:uiPriority w:val="99"/>
    <w:qFormat/>
    <w:pPr>
      <w:spacing w:after="0" w:line="240" w:lineRule="auto"/>
    </w:pPr>
    <w:tblPr/>
  </w:style>
  <w:style w:type="table" w:styleId="879" w:customStyle="1">
    <w:name w:val="Grid Table 1 Light"/>
    <w:uiPriority w:val="99"/>
    <w:qFormat/>
    <w:pPr>
      <w:spacing w:after="0" w:line="240" w:lineRule="auto"/>
    </w:pPr>
    <w:tblPr/>
  </w:style>
  <w:style w:type="table" w:styleId="880" w:customStyle="1">
    <w:name w:val="Grid Table 1 Light - Accent 1"/>
    <w:uiPriority w:val="99"/>
    <w:qFormat/>
    <w:pPr>
      <w:spacing w:after="0" w:line="240" w:lineRule="auto"/>
    </w:pPr>
    <w:tblPr/>
  </w:style>
  <w:style w:type="table" w:styleId="881" w:customStyle="1">
    <w:name w:val="Grid Table 1 Light - Accent 2"/>
    <w:uiPriority w:val="99"/>
    <w:qFormat/>
    <w:pPr>
      <w:spacing w:after="0" w:line="240" w:lineRule="auto"/>
    </w:pPr>
    <w:tblPr/>
  </w:style>
  <w:style w:type="table" w:styleId="882" w:customStyle="1">
    <w:name w:val="Grid Table 1 Light - Accent 3"/>
    <w:uiPriority w:val="99"/>
    <w:qFormat/>
    <w:pPr>
      <w:spacing w:after="0" w:line="240" w:lineRule="auto"/>
    </w:pPr>
    <w:tblPr/>
  </w:style>
  <w:style w:type="table" w:styleId="883" w:customStyle="1">
    <w:name w:val="Grid Table 1 Light - Accent 4"/>
    <w:uiPriority w:val="99"/>
    <w:qFormat/>
    <w:pPr>
      <w:spacing w:after="0" w:line="240" w:lineRule="auto"/>
    </w:pPr>
    <w:tblPr/>
  </w:style>
  <w:style w:type="table" w:styleId="884" w:customStyle="1">
    <w:name w:val="Grid Table 1 Light - Accent 5"/>
    <w:uiPriority w:val="99"/>
    <w:qFormat/>
    <w:pPr>
      <w:spacing w:after="0" w:line="240" w:lineRule="auto"/>
    </w:pPr>
    <w:tblPr/>
  </w:style>
  <w:style w:type="table" w:styleId="885" w:customStyle="1">
    <w:name w:val="Grid Table 1 Light - Accent 6"/>
    <w:uiPriority w:val="99"/>
    <w:qFormat/>
    <w:pPr>
      <w:spacing w:after="0" w:line="240" w:lineRule="auto"/>
    </w:pPr>
    <w:tblPr/>
  </w:style>
  <w:style w:type="table" w:styleId="886" w:customStyle="1">
    <w:name w:val="Grid Table 2"/>
    <w:uiPriority w:val="99"/>
    <w:qFormat/>
    <w:pPr>
      <w:spacing w:after="0" w:line="240" w:lineRule="auto"/>
    </w:pPr>
    <w:tblPr/>
  </w:style>
  <w:style w:type="table" w:styleId="887" w:customStyle="1">
    <w:name w:val="Grid Table 2 - Accent 1"/>
    <w:uiPriority w:val="99"/>
    <w:qFormat/>
    <w:pPr>
      <w:spacing w:after="0" w:line="240" w:lineRule="auto"/>
    </w:pPr>
    <w:tblPr/>
  </w:style>
  <w:style w:type="table" w:styleId="888" w:customStyle="1">
    <w:name w:val="Grid Table 2 - Accent 2"/>
    <w:uiPriority w:val="99"/>
    <w:qFormat/>
    <w:pPr>
      <w:spacing w:after="0" w:line="240" w:lineRule="auto"/>
    </w:pPr>
    <w:tblPr/>
  </w:style>
  <w:style w:type="table" w:styleId="889" w:customStyle="1">
    <w:name w:val="Grid Table 2 - Accent 3"/>
    <w:uiPriority w:val="99"/>
    <w:qFormat/>
    <w:pPr>
      <w:spacing w:after="0" w:line="240" w:lineRule="auto"/>
    </w:pPr>
    <w:tblPr/>
  </w:style>
  <w:style w:type="table" w:styleId="890" w:customStyle="1">
    <w:name w:val="Grid Table 2 - Accent 4"/>
    <w:uiPriority w:val="99"/>
    <w:qFormat/>
    <w:pPr>
      <w:spacing w:after="0" w:line="240" w:lineRule="auto"/>
    </w:pPr>
    <w:tblPr/>
  </w:style>
  <w:style w:type="table" w:styleId="891" w:customStyle="1">
    <w:name w:val="Grid Table 2 - Accent 5"/>
    <w:uiPriority w:val="99"/>
    <w:qFormat/>
    <w:pPr>
      <w:spacing w:after="0" w:line="240" w:lineRule="auto"/>
    </w:pPr>
    <w:tblPr/>
  </w:style>
  <w:style w:type="table" w:styleId="892" w:customStyle="1">
    <w:name w:val="Grid Table 2 - Accent 6"/>
    <w:uiPriority w:val="99"/>
    <w:qFormat/>
    <w:pPr>
      <w:spacing w:after="0" w:line="240" w:lineRule="auto"/>
    </w:pPr>
    <w:tblPr/>
  </w:style>
  <w:style w:type="table" w:styleId="893" w:customStyle="1">
    <w:name w:val="Grid Table 3"/>
    <w:uiPriority w:val="99"/>
    <w:qFormat/>
    <w:pPr>
      <w:spacing w:after="0" w:line="240" w:lineRule="auto"/>
    </w:pPr>
    <w:tblPr/>
  </w:style>
  <w:style w:type="table" w:styleId="894" w:customStyle="1">
    <w:name w:val="Grid Table 3 - Accent 1"/>
    <w:uiPriority w:val="99"/>
    <w:qFormat/>
    <w:pPr>
      <w:spacing w:after="0" w:line="240" w:lineRule="auto"/>
    </w:pPr>
    <w:tblPr/>
  </w:style>
  <w:style w:type="table" w:styleId="895" w:customStyle="1">
    <w:name w:val="Grid Table 3 - Accent 2"/>
    <w:uiPriority w:val="99"/>
    <w:qFormat/>
    <w:pPr>
      <w:spacing w:after="0" w:line="240" w:lineRule="auto"/>
    </w:pPr>
    <w:tblPr/>
  </w:style>
  <w:style w:type="table" w:styleId="896" w:customStyle="1">
    <w:name w:val="Grid Table 3 - Accent 3"/>
    <w:uiPriority w:val="99"/>
    <w:qFormat/>
    <w:pPr>
      <w:spacing w:after="0" w:line="240" w:lineRule="auto"/>
    </w:pPr>
    <w:tblPr/>
  </w:style>
  <w:style w:type="table" w:styleId="897" w:customStyle="1">
    <w:name w:val="Grid Table 3 - Accent 4"/>
    <w:uiPriority w:val="99"/>
    <w:qFormat/>
    <w:pPr>
      <w:spacing w:after="0" w:line="240" w:lineRule="auto"/>
    </w:pPr>
    <w:tblPr/>
  </w:style>
  <w:style w:type="table" w:styleId="898" w:customStyle="1">
    <w:name w:val="Grid Table 3 - Accent 5"/>
    <w:uiPriority w:val="99"/>
    <w:qFormat/>
    <w:pPr>
      <w:spacing w:after="0" w:line="240" w:lineRule="auto"/>
    </w:pPr>
    <w:tblPr/>
  </w:style>
  <w:style w:type="table" w:styleId="899" w:customStyle="1">
    <w:name w:val="Grid Table 3 - Accent 6"/>
    <w:uiPriority w:val="99"/>
    <w:qFormat/>
    <w:pPr>
      <w:spacing w:after="0" w:line="240" w:lineRule="auto"/>
    </w:pPr>
    <w:tblPr/>
  </w:style>
  <w:style w:type="table" w:styleId="900" w:customStyle="1">
    <w:name w:val="Grid Table 4"/>
    <w:uiPriority w:val="59"/>
    <w:qFormat/>
    <w:pPr>
      <w:spacing w:after="0" w:line="240" w:lineRule="auto"/>
    </w:pPr>
    <w:tblPr/>
  </w:style>
  <w:style w:type="table" w:styleId="901" w:customStyle="1">
    <w:name w:val="Grid Table 4 - Accent 1"/>
    <w:uiPriority w:val="59"/>
    <w:qFormat/>
    <w:pPr>
      <w:spacing w:after="0" w:line="240" w:lineRule="auto"/>
    </w:pPr>
    <w:tblPr/>
  </w:style>
  <w:style w:type="table" w:styleId="902" w:customStyle="1">
    <w:name w:val="Grid Table 4 - Accent 2"/>
    <w:uiPriority w:val="59"/>
    <w:qFormat/>
    <w:pPr>
      <w:spacing w:after="0" w:line="240" w:lineRule="auto"/>
    </w:pPr>
    <w:tblPr/>
  </w:style>
  <w:style w:type="table" w:styleId="903" w:customStyle="1">
    <w:name w:val="Grid Table 4 - Accent 3"/>
    <w:uiPriority w:val="59"/>
    <w:qFormat/>
    <w:pPr>
      <w:spacing w:after="0" w:line="240" w:lineRule="auto"/>
    </w:pPr>
    <w:tblPr/>
  </w:style>
  <w:style w:type="table" w:styleId="904" w:customStyle="1">
    <w:name w:val="Grid Table 4 - Accent 4"/>
    <w:uiPriority w:val="59"/>
    <w:qFormat/>
    <w:pPr>
      <w:spacing w:after="0" w:line="240" w:lineRule="auto"/>
    </w:pPr>
    <w:tblPr/>
  </w:style>
  <w:style w:type="table" w:styleId="905" w:customStyle="1">
    <w:name w:val="Grid Table 4 - Accent 5"/>
    <w:uiPriority w:val="59"/>
    <w:qFormat/>
    <w:pPr>
      <w:spacing w:after="0" w:line="240" w:lineRule="auto"/>
    </w:pPr>
    <w:tblPr/>
  </w:style>
  <w:style w:type="table" w:styleId="906" w:customStyle="1">
    <w:name w:val="Grid Table 4 - Accent 6"/>
    <w:uiPriority w:val="59"/>
    <w:qFormat/>
    <w:pPr>
      <w:spacing w:after="0" w:line="240" w:lineRule="auto"/>
    </w:pPr>
    <w:tblPr/>
  </w:style>
  <w:style w:type="table" w:styleId="907" w:customStyle="1">
    <w:name w:val="Grid Table 5 Dark"/>
    <w:uiPriority w:val="99"/>
    <w:qFormat/>
    <w:pPr>
      <w:spacing w:after="0" w:line="240" w:lineRule="auto"/>
    </w:pPr>
    <w:tblPr/>
  </w:style>
  <w:style w:type="table" w:styleId="908" w:customStyle="1">
    <w:name w:val="Grid Table 5 Dark- Accent 1"/>
    <w:uiPriority w:val="99"/>
    <w:qFormat/>
    <w:pPr>
      <w:spacing w:after="0" w:line="240" w:lineRule="auto"/>
    </w:pPr>
    <w:tblPr/>
  </w:style>
  <w:style w:type="table" w:styleId="909" w:customStyle="1">
    <w:name w:val="Grid Table 5 Dark - Accent 2"/>
    <w:uiPriority w:val="99"/>
    <w:qFormat/>
    <w:pPr>
      <w:spacing w:after="0" w:line="240" w:lineRule="auto"/>
    </w:pPr>
    <w:tblPr/>
  </w:style>
  <w:style w:type="table" w:styleId="910" w:customStyle="1">
    <w:name w:val="Grid Table 5 Dark - Accent 3"/>
    <w:uiPriority w:val="99"/>
    <w:qFormat/>
    <w:pPr>
      <w:spacing w:after="0" w:line="240" w:lineRule="auto"/>
    </w:pPr>
    <w:tblPr/>
  </w:style>
  <w:style w:type="table" w:styleId="911" w:customStyle="1">
    <w:name w:val="Grid Table 5 Dark- Accent 4"/>
    <w:uiPriority w:val="99"/>
    <w:qFormat/>
    <w:pPr>
      <w:spacing w:after="0" w:line="240" w:lineRule="auto"/>
    </w:pPr>
    <w:tblPr/>
  </w:style>
  <w:style w:type="table" w:styleId="912" w:customStyle="1">
    <w:name w:val="Grid Table 5 Dark - Accent 5"/>
    <w:uiPriority w:val="99"/>
    <w:qFormat/>
    <w:pPr>
      <w:spacing w:after="0" w:line="240" w:lineRule="auto"/>
    </w:pPr>
    <w:tblPr/>
  </w:style>
  <w:style w:type="table" w:styleId="913" w:customStyle="1">
    <w:name w:val="Grid Table 5 Dark - Accent 6"/>
    <w:uiPriority w:val="99"/>
    <w:qFormat/>
    <w:pPr>
      <w:spacing w:after="0" w:line="240" w:lineRule="auto"/>
    </w:pPr>
    <w:tblPr/>
  </w:style>
  <w:style w:type="table" w:styleId="914" w:customStyle="1">
    <w:name w:val="Grid Table 6 Colorful"/>
    <w:uiPriority w:val="99"/>
    <w:qFormat/>
    <w:pPr>
      <w:spacing w:after="0" w:line="240" w:lineRule="auto"/>
    </w:pPr>
    <w:tblPr/>
  </w:style>
  <w:style w:type="table" w:styleId="915" w:customStyle="1">
    <w:name w:val="Grid Table 6 Colorful - Accent 1"/>
    <w:uiPriority w:val="99"/>
    <w:qFormat/>
    <w:pPr>
      <w:spacing w:after="0" w:line="240" w:lineRule="auto"/>
    </w:pPr>
    <w:tblPr/>
  </w:style>
  <w:style w:type="table" w:styleId="916" w:customStyle="1">
    <w:name w:val="Grid Table 6 Colorful - Accent 2"/>
    <w:uiPriority w:val="99"/>
    <w:qFormat/>
    <w:pPr>
      <w:spacing w:after="0" w:line="240" w:lineRule="auto"/>
    </w:pPr>
    <w:tblPr/>
  </w:style>
  <w:style w:type="table" w:styleId="917" w:customStyle="1">
    <w:name w:val="Grid Table 6 Colorful - Accent 3"/>
    <w:uiPriority w:val="99"/>
    <w:qFormat/>
    <w:pPr>
      <w:spacing w:after="0" w:line="240" w:lineRule="auto"/>
    </w:pPr>
    <w:tblPr/>
  </w:style>
  <w:style w:type="table" w:styleId="918" w:customStyle="1">
    <w:name w:val="Grid Table 6 Colorful - Accent 4"/>
    <w:uiPriority w:val="99"/>
    <w:qFormat/>
    <w:pPr>
      <w:spacing w:after="0" w:line="240" w:lineRule="auto"/>
    </w:pPr>
    <w:tblPr/>
  </w:style>
  <w:style w:type="table" w:styleId="919" w:customStyle="1">
    <w:name w:val="Grid Table 6 Colorful - Accent 5"/>
    <w:uiPriority w:val="99"/>
    <w:qFormat/>
    <w:pPr>
      <w:spacing w:after="0" w:line="240" w:lineRule="auto"/>
    </w:pPr>
    <w:tblPr/>
  </w:style>
  <w:style w:type="table" w:styleId="920" w:customStyle="1">
    <w:name w:val="Grid Table 6 Colorful - Accent 6"/>
    <w:uiPriority w:val="99"/>
    <w:qFormat/>
    <w:pPr>
      <w:spacing w:after="0" w:line="240" w:lineRule="auto"/>
    </w:pPr>
    <w:tblPr/>
  </w:style>
  <w:style w:type="table" w:styleId="921" w:customStyle="1">
    <w:name w:val="Grid Table 7 Colorful"/>
    <w:uiPriority w:val="99"/>
    <w:qFormat/>
    <w:pPr>
      <w:spacing w:after="0" w:line="240" w:lineRule="auto"/>
    </w:pPr>
    <w:tblPr/>
  </w:style>
  <w:style w:type="table" w:styleId="922" w:customStyle="1">
    <w:name w:val="Grid Table 7 Colorful - Accent 1"/>
    <w:uiPriority w:val="99"/>
    <w:qFormat/>
    <w:pPr>
      <w:spacing w:after="0" w:line="240" w:lineRule="auto"/>
    </w:pPr>
    <w:tblPr/>
  </w:style>
  <w:style w:type="table" w:styleId="923" w:customStyle="1">
    <w:name w:val="Grid Table 7 Colorful - Accent 2"/>
    <w:uiPriority w:val="99"/>
    <w:qFormat/>
    <w:pPr>
      <w:spacing w:after="0" w:line="240" w:lineRule="auto"/>
    </w:pPr>
    <w:tblPr/>
  </w:style>
  <w:style w:type="table" w:styleId="924" w:customStyle="1">
    <w:name w:val="Grid Table 7 Colorful - Accent 3"/>
    <w:uiPriority w:val="99"/>
    <w:qFormat/>
    <w:pPr>
      <w:spacing w:after="0" w:line="240" w:lineRule="auto"/>
    </w:pPr>
    <w:tblPr/>
  </w:style>
  <w:style w:type="table" w:styleId="925" w:customStyle="1">
    <w:name w:val="Grid Table 7 Colorful - Accent 4"/>
    <w:uiPriority w:val="99"/>
    <w:qFormat/>
    <w:pPr>
      <w:spacing w:after="0" w:line="240" w:lineRule="auto"/>
    </w:pPr>
    <w:tblPr/>
  </w:style>
  <w:style w:type="table" w:styleId="926" w:customStyle="1">
    <w:name w:val="Grid Table 7 Colorful - Accent 5"/>
    <w:uiPriority w:val="99"/>
    <w:qFormat/>
    <w:pPr>
      <w:spacing w:after="0" w:line="240" w:lineRule="auto"/>
    </w:pPr>
    <w:tblPr/>
  </w:style>
  <w:style w:type="table" w:styleId="927" w:customStyle="1">
    <w:name w:val="Grid Table 7 Colorful - Accent 6"/>
    <w:uiPriority w:val="99"/>
    <w:qFormat/>
    <w:pPr>
      <w:spacing w:after="0" w:line="240" w:lineRule="auto"/>
    </w:pPr>
    <w:tblPr/>
  </w:style>
  <w:style w:type="table" w:styleId="928" w:customStyle="1">
    <w:name w:val="List Table 1 Light"/>
    <w:uiPriority w:val="99"/>
    <w:qFormat/>
    <w:pPr>
      <w:spacing w:after="0" w:line="240" w:lineRule="auto"/>
    </w:pPr>
    <w:tblPr/>
  </w:style>
  <w:style w:type="table" w:styleId="929" w:customStyle="1">
    <w:name w:val="List Table 1 Light - Accent 1"/>
    <w:uiPriority w:val="99"/>
    <w:qFormat/>
    <w:pPr>
      <w:spacing w:after="0" w:line="240" w:lineRule="auto"/>
    </w:pPr>
    <w:tblPr/>
  </w:style>
  <w:style w:type="table" w:styleId="930" w:customStyle="1">
    <w:name w:val="List Table 1 Light - Accent 2"/>
    <w:uiPriority w:val="99"/>
    <w:qFormat/>
    <w:pPr>
      <w:spacing w:after="0" w:line="240" w:lineRule="auto"/>
    </w:pPr>
    <w:tblPr/>
  </w:style>
  <w:style w:type="table" w:styleId="931" w:customStyle="1">
    <w:name w:val="List Table 1 Light - Accent 3"/>
    <w:uiPriority w:val="99"/>
    <w:qFormat/>
    <w:pPr>
      <w:spacing w:after="0" w:line="240" w:lineRule="auto"/>
    </w:pPr>
    <w:tblPr/>
  </w:style>
  <w:style w:type="table" w:styleId="932" w:customStyle="1">
    <w:name w:val="List Table 1 Light - Accent 4"/>
    <w:uiPriority w:val="99"/>
    <w:qFormat/>
    <w:pPr>
      <w:spacing w:after="0" w:line="240" w:lineRule="auto"/>
    </w:pPr>
    <w:tblPr/>
  </w:style>
  <w:style w:type="table" w:styleId="933" w:customStyle="1">
    <w:name w:val="List Table 1 Light - Accent 5"/>
    <w:uiPriority w:val="99"/>
    <w:qFormat/>
    <w:pPr>
      <w:spacing w:after="0" w:line="240" w:lineRule="auto"/>
    </w:pPr>
    <w:tblPr/>
  </w:style>
  <w:style w:type="table" w:styleId="934" w:customStyle="1">
    <w:name w:val="List Table 1 Light - Accent 6"/>
    <w:uiPriority w:val="99"/>
    <w:qFormat/>
    <w:pPr>
      <w:spacing w:after="0" w:line="240" w:lineRule="auto"/>
    </w:pPr>
    <w:tblPr/>
  </w:style>
  <w:style w:type="table" w:styleId="935" w:customStyle="1">
    <w:name w:val="List Table 2"/>
    <w:uiPriority w:val="99"/>
    <w:qFormat/>
    <w:pPr>
      <w:spacing w:after="0" w:line="240" w:lineRule="auto"/>
    </w:pPr>
    <w:tblPr/>
  </w:style>
  <w:style w:type="table" w:styleId="936" w:customStyle="1">
    <w:name w:val="List Table 2 - Accent 1"/>
    <w:uiPriority w:val="99"/>
    <w:qFormat/>
    <w:pPr>
      <w:spacing w:after="0" w:line="240" w:lineRule="auto"/>
    </w:pPr>
    <w:tblPr/>
  </w:style>
  <w:style w:type="table" w:styleId="937" w:customStyle="1">
    <w:name w:val="List Table 2 - Accent 2"/>
    <w:uiPriority w:val="99"/>
    <w:qFormat/>
    <w:pPr>
      <w:spacing w:after="0" w:line="240" w:lineRule="auto"/>
    </w:pPr>
    <w:tblPr/>
  </w:style>
  <w:style w:type="table" w:styleId="938" w:customStyle="1">
    <w:name w:val="List Table 2 - Accent 3"/>
    <w:uiPriority w:val="99"/>
    <w:qFormat/>
    <w:pPr>
      <w:spacing w:after="0" w:line="240" w:lineRule="auto"/>
    </w:pPr>
    <w:tblPr/>
  </w:style>
  <w:style w:type="table" w:styleId="939" w:customStyle="1">
    <w:name w:val="List Table 2 - Accent 4"/>
    <w:uiPriority w:val="99"/>
    <w:qFormat/>
    <w:pPr>
      <w:spacing w:after="0" w:line="240" w:lineRule="auto"/>
    </w:pPr>
    <w:tblPr/>
  </w:style>
  <w:style w:type="table" w:styleId="940" w:customStyle="1">
    <w:name w:val="List Table 2 - Accent 5"/>
    <w:uiPriority w:val="99"/>
    <w:qFormat/>
    <w:pPr>
      <w:spacing w:after="0" w:line="240" w:lineRule="auto"/>
    </w:pPr>
    <w:tblPr/>
  </w:style>
  <w:style w:type="table" w:styleId="941" w:customStyle="1">
    <w:name w:val="List Table 2 - Accent 6"/>
    <w:uiPriority w:val="99"/>
    <w:qFormat/>
    <w:pPr>
      <w:spacing w:after="0" w:line="240" w:lineRule="auto"/>
    </w:pPr>
    <w:tblPr/>
  </w:style>
  <w:style w:type="table" w:styleId="942" w:customStyle="1">
    <w:name w:val="List Table 3"/>
    <w:uiPriority w:val="99"/>
    <w:qFormat/>
    <w:pPr>
      <w:spacing w:after="0" w:line="240" w:lineRule="auto"/>
    </w:pPr>
    <w:tblPr/>
  </w:style>
  <w:style w:type="table" w:styleId="943" w:customStyle="1">
    <w:name w:val="List Table 3 - Accent 1"/>
    <w:uiPriority w:val="99"/>
    <w:qFormat/>
    <w:pPr>
      <w:spacing w:after="0" w:line="240" w:lineRule="auto"/>
    </w:pPr>
    <w:tblPr/>
  </w:style>
  <w:style w:type="table" w:styleId="944" w:customStyle="1">
    <w:name w:val="List Table 3 - Accent 2"/>
    <w:uiPriority w:val="99"/>
    <w:qFormat/>
    <w:pPr>
      <w:spacing w:after="0" w:line="240" w:lineRule="auto"/>
    </w:pPr>
    <w:tblPr/>
  </w:style>
  <w:style w:type="table" w:styleId="945" w:customStyle="1">
    <w:name w:val="List Table 3 - Accent 3"/>
    <w:uiPriority w:val="99"/>
    <w:qFormat/>
    <w:pPr>
      <w:spacing w:after="0" w:line="240" w:lineRule="auto"/>
    </w:pPr>
    <w:tblPr/>
  </w:style>
  <w:style w:type="table" w:styleId="946" w:customStyle="1">
    <w:name w:val="List Table 3 - Accent 4"/>
    <w:uiPriority w:val="99"/>
    <w:qFormat/>
    <w:pPr>
      <w:spacing w:after="0" w:line="240" w:lineRule="auto"/>
    </w:pPr>
    <w:tblPr/>
  </w:style>
  <w:style w:type="table" w:styleId="947" w:customStyle="1">
    <w:name w:val="List Table 3 - Accent 5"/>
    <w:uiPriority w:val="99"/>
    <w:qFormat/>
    <w:pPr>
      <w:spacing w:after="0" w:line="240" w:lineRule="auto"/>
    </w:pPr>
    <w:tblPr/>
  </w:style>
  <w:style w:type="table" w:styleId="948" w:customStyle="1">
    <w:name w:val="List Table 3 - Accent 6"/>
    <w:uiPriority w:val="99"/>
    <w:qFormat/>
    <w:pPr>
      <w:spacing w:after="0" w:line="240" w:lineRule="auto"/>
    </w:pPr>
    <w:tblPr/>
  </w:style>
  <w:style w:type="table" w:styleId="949" w:customStyle="1">
    <w:name w:val="List Table 4"/>
    <w:uiPriority w:val="99"/>
    <w:qFormat/>
    <w:pPr>
      <w:spacing w:after="0" w:line="240" w:lineRule="auto"/>
    </w:pPr>
    <w:tblPr/>
  </w:style>
  <w:style w:type="table" w:styleId="950" w:customStyle="1">
    <w:name w:val="List Table 4 - Accent 1"/>
    <w:uiPriority w:val="99"/>
    <w:qFormat/>
    <w:pPr>
      <w:spacing w:after="0" w:line="240" w:lineRule="auto"/>
    </w:pPr>
    <w:tblPr/>
  </w:style>
  <w:style w:type="table" w:styleId="951" w:customStyle="1">
    <w:name w:val="List Table 4 - Accent 2"/>
    <w:uiPriority w:val="99"/>
    <w:qFormat/>
    <w:pPr>
      <w:spacing w:after="0" w:line="240" w:lineRule="auto"/>
    </w:pPr>
    <w:tblPr/>
  </w:style>
  <w:style w:type="table" w:styleId="952" w:customStyle="1">
    <w:name w:val="List Table 4 - Accent 3"/>
    <w:uiPriority w:val="99"/>
    <w:qFormat/>
    <w:pPr>
      <w:spacing w:after="0" w:line="240" w:lineRule="auto"/>
    </w:pPr>
    <w:tblPr/>
  </w:style>
  <w:style w:type="table" w:styleId="953" w:customStyle="1">
    <w:name w:val="List Table 4 - Accent 4"/>
    <w:uiPriority w:val="99"/>
    <w:qFormat/>
    <w:pPr>
      <w:spacing w:after="0" w:line="240" w:lineRule="auto"/>
    </w:pPr>
    <w:tblPr/>
  </w:style>
  <w:style w:type="table" w:styleId="954" w:customStyle="1">
    <w:name w:val="List Table 4 - Accent 5"/>
    <w:uiPriority w:val="99"/>
    <w:qFormat/>
    <w:pPr>
      <w:spacing w:after="0" w:line="240" w:lineRule="auto"/>
    </w:pPr>
    <w:tblPr/>
  </w:style>
  <w:style w:type="table" w:styleId="955" w:customStyle="1">
    <w:name w:val="List Table 4 - Accent 6"/>
    <w:uiPriority w:val="99"/>
    <w:qFormat/>
    <w:pPr>
      <w:spacing w:after="0" w:line="240" w:lineRule="auto"/>
    </w:pPr>
    <w:tblPr/>
  </w:style>
  <w:style w:type="table" w:styleId="956" w:customStyle="1">
    <w:name w:val="List Table 5 Dark"/>
    <w:uiPriority w:val="99"/>
    <w:qFormat/>
    <w:pPr>
      <w:spacing w:after="0" w:line="240" w:lineRule="auto"/>
    </w:pPr>
    <w:tblPr/>
  </w:style>
  <w:style w:type="table" w:styleId="957" w:customStyle="1">
    <w:name w:val="List Table 5 Dark - Accent 1"/>
    <w:uiPriority w:val="99"/>
    <w:qFormat/>
    <w:pPr>
      <w:spacing w:after="0" w:line="240" w:lineRule="auto"/>
    </w:pPr>
    <w:tblPr/>
  </w:style>
  <w:style w:type="table" w:styleId="958" w:customStyle="1">
    <w:name w:val="List Table 5 Dark - Accent 2"/>
    <w:uiPriority w:val="99"/>
    <w:qFormat/>
    <w:pPr>
      <w:spacing w:after="0" w:line="240" w:lineRule="auto"/>
    </w:pPr>
    <w:tblPr/>
  </w:style>
  <w:style w:type="table" w:styleId="959" w:customStyle="1">
    <w:name w:val="List Table 5 Dark - Accent 3"/>
    <w:uiPriority w:val="99"/>
    <w:qFormat/>
    <w:pPr>
      <w:spacing w:after="0" w:line="240" w:lineRule="auto"/>
    </w:pPr>
    <w:tblPr/>
  </w:style>
  <w:style w:type="table" w:styleId="960" w:customStyle="1">
    <w:name w:val="List Table 5 Dark - Accent 4"/>
    <w:uiPriority w:val="99"/>
    <w:qFormat/>
    <w:pPr>
      <w:spacing w:after="0" w:line="240" w:lineRule="auto"/>
    </w:pPr>
    <w:tblPr/>
  </w:style>
  <w:style w:type="table" w:styleId="961" w:customStyle="1">
    <w:name w:val="List Table 5 Dark - Accent 5"/>
    <w:uiPriority w:val="99"/>
    <w:qFormat/>
    <w:pPr>
      <w:spacing w:after="0" w:line="240" w:lineRule="auto"/>
    </w:pPr>
    <w:tblPr/>
  </w:style>
  <w:style w:type="table" w:styleId="962" w:customStyle="1">
    <w:name w:val="List Table 5 Dark - Accent 6"/>
    <w:uiPriority w:val="99"/>
    <w:qFormat/>
    <w:pPr>
      <w:spacing w:after="0" w:line="240" w:lineRule="auto"/>
    </w:pPr>
    <w:tblPr/>
  </w:style>
  <w:style w:type="table" w:styleId="963" w:customStyle="1">
    <w:name w:val="List Table 6 Colorful"/>
    <w:uiPriority w:val="99"/>
    <w:qFormat/>
    <w:pPr>
      <w:spacing w:after="0" w:line="240" w:lineRule="auto"/>
    </w:pPr>
    <w:tblPr/>
  </w:style>
  <w:style w:type="table" w:styleId="964" w:customStyle="1">
    <w:name w:val="List Table 6 Colorful - Accent 1"/>
    <w:uiPriority w:val="99"/>
    <w:qFormat/>
    <w:pPr>
      <w:spacing w:after="0" w:line="240" w:lineRule="auto"/>
    </w:pPr>
    <w:tblPr/>
  </w:style>
  <w:style w:type="table" w:styleId="965" w:customStyle="1">
    <w:name w:val="List Table 6 Colorful - Accent 2"/>
    <w:uiPriority w:val="99"/>
    <w:qFormat/>
    <w:pPr>
      <w:spacing w:after="0" w:line="240" w:lineRule="auto"/>
    </w:pPr>
    <w:tblPr/>
  </w:style>
  <w:style w:type="table" w:styleId="966" w:customStyle="1">
    <w:name w:val="List Table 6 Colorful - Accent 3"/>
    <w:uiPriority w:val="99"/>
    <w:qFormat/>
    <w:pPr>
      <w:spacing w:after="0" w:line="240" w:lineRule="auto"/>
    </w:pPr>
    <w:tblPr/>
  </w:style>
  <w:style w:type="table" w:styleId="967" w:customStyle="1">
    <w:name w:val="List Table 6 Colorful - Accent 4"/>
    <w:uiPriority w:val="99"/>
    <w:qFormat/>
    <w:pPr>
      <w:spacing w:after="0" w:line="240" w:lineRule="auto"/>
    </w:pPr>
    <w:tblPr/>
  </w:style>
  <w:style w:type="table" w:styleId="968" w:customStyle="1">
    <w:name w:val="List Table 6 Colorful - Accent 5"/>
    <w:uiPriority w:val="99"/>
    <w:qFormat/>
    <w:pPr>
      <w:spacing w:after="0" w:line="240" w:lineRule="auto"/>
    </w:pPr>
    <w:tblPr/>
  </w:style>
  <w:style w:type="table" w:styleId="969" w:customStyle="1">
    <w:name w:val="List Table 6 Colorful - Accent 6"/>
    <w:uiPriority w:val="99"/>
    <w:qFormat/>
    <w:pPr>
      <w:spacing w:after="0" w:line="240" w:lineRule="auto"/>
    </w:pPr>
    <w:tblPr/>
  </w:style>
  <w:style w:type="table" w:styleId="970" w:customStyle="1">
    <w:name w:val="List Table 7 Colorful"/>
    <w:uiPriority w:val="99"/>
    <w:qFormat/>
    <w:pPr>
      <w:spacing w:after="0" w:line="240" w:lineRule="auto"/>
    </w:pPr>
    <w:tblPr/>
  </w:style>
  <w:style w:type="table" w:styleId="971" w:customStyle="1">
    <w:name w:val="List Table 7 Colorful - Accent 1"/>
    <w:uiPriority w:val="99"/>
    <w:qFormat/>
    <w:pPr>
      <w:spacing w:after="0" w:line="240" w:lineRule="auto"/>
    </w:pPr>
    <w:tblPr/>
  </w:style>
  <w:style w:type="table" w:styleId="972" w:customStyle="1">
    <w:name w:val="List Table 7 Colorful - Accent 2"/>
    <w:uiPriority w:val="99"/>
    <w:qFormat/>
    <w:pPr>
      <w:spacing w:after="0" w:line="240" w:lineRule="auto"/>
    </w:pPr>
    <w:tblPr/>
  </w:style>
  <w:style w:type="table" w:styleId="973" w:customStyle="1">
    <w:name w:val="List Table 7 Colorful - Accent 3"/>
    <w:uiPriority w:val="99"/>
    <w:qFormat/>
    <w:pPr>
      <w:spacing w:after="0" w:line="240" w:lineRule="auto"/>
    </w:pPr>
    <w:tblPr/>
  </w:style>
  <w:style w:type="table" w:styleId="974" w:customStyle="1">
    <w:name w:val="List Table 7 Colorful - Accent 4"/>
    <w:uiPriority w:val="99"/>
    <w:qFormat/>
    <w:pPr>
      <w:spacing w:after="0" w:line="240" w:lineRule="auto"/>
    </w:pPr>
    <w:tblPr/>
  </w:style>
  <w:style w:type="table" w:styleId="975" w:customStyle="1">
    <w:name w:val="List Table 7 Colorful - Accent 5"/>
    <w:uiPriority w:val="99"/>
    <w:qFormat/>
    <w:pPr>
      <w:spacing w:after="0" w:line="240" w:lineRule="auto"/>
    </w:pPr>
    <w:tblPr/>
  </w:style>
  <w:style w:type="table" w:styleId="976" w:customStyle="1">
    <w:name w:val="List Table 7 Colorful - Accent 6"/>
    <w:uiPriority w:val="99"/>
    <w:qFormat/>
    <w:pPr>
      <w:spacing w:after="0" w:line="240" w:lineRule="auto"/>
    </w:pPr>
    <w:tblPr/>
  </w:style>
  <w:style w:type="table" w:styleId="977" w:customStyle="1">
    <w:name w:val="Lined - Accent"/>
    <w:uiPriority w:val="99"/>
    <w:qFormat/>
    <w:pPr>
      <w:spacing w:after="0" w:line="240" w:lineRule="auto"/>
    </w:pPr>
    <w:rPr>
      <w:color w:val="404040"/>
    </w:rPr>
    <w:tblPr/>
  </w:style>
  <w:style w:type="table" w:styleId="978" w:customStyle="1">
    <w:name w:val="Lined - Accent 1"/>
    <w:uiPriority w:val="99"/>
    <w:qFormat/>
    <w:pPr>
      <w:spacing w:after="0" w:line="240" w:lineRule="auto"/>
    </w:pPr>
    <w:rPr>
      <w:color w:val="404040"/>
    </w:rPr>
    <w:tblPr/>
  </w:style>
  <w:style w:type="table" w:styleId="979" w:customStyle="1">
    <w:name w:val="Lined - Accent 2"/>
    <w:uiPriority w:val="99"/>
    <w:qFormat/>
    <w:pPr>
      <w:spacing w:after="0" w:line="240" w:lineRule="auto"/>
    </w:pPr>
    <w:rPr>
      <w:color w:val="404040"/>
    </w:rPr>
    <w:tblPr/>
  </w:style>
  <w:style w:type="table" w:styleId="980" w:customStyle="1">
    <w:name w:val="Lined - Accent 3"/>
    <w:uiPriority w:val="99"/>
    <w:qFormat/>
    <w:pPr>
      <w:spacing w:after="0" w:line="240" w:lineRule="auto"/>
    </w:pPr>
    <w:rPr>
      <w:color w:val="404040"/>
    </w:rPr>
    <w:tblPr/>
  </w:style>
  <w:style w:type="table" w:styleId="981" w:customStyle="1">
    <w:name w:val="Lined - Accent 4"/>
    <w:uiPriority w:val="99"/>
    <w:qFormat/>
    <w:pPr>
      <w:spacing w:after="0" w:line="240" w:lineRule="auto"/>
    </w:pPr>
    <w:rPr>
      <w:color w:val="404040"/>
    </w:rPr>
    <w:tblPr/>
  </w:style>
  <w:style w:type="table" w:styleId="982" w:customStyle="1">
    <w:name w:val="Lined - Accent 5"/>
    <w:uiPriority w:val="99"/>
    <w:qFormat/>
    <w:pPr>
      <w:spacing w:after="0" w:line="240" w:lineRule="auto"/>
    </w:pPr>
    <w:rPr>
      <w:color w:val="404040"/>
    </w:rPr>
    <w:tblPr/>
  </w:style>
  <w:style w:type="table" w:styleId="983" w:customStyle="1">
    <w:name w:val="Lined - Accent 6"/>
    <w:uiPriority w:val="99"/>
    <w:qFormat/>
    <w:pPr>
      <w:spacing w:after="0" w:line="240" w:lineRule="auto"/>
    </w:pPr>
    <w:rPr>
      <w:color w:val="404040"/>
    </w:rPr>
    <w:tblPr/>
  </w:style>
  <w:style w:type="table" w:styleId="984" w:customStyle="1">
    <w:name w:val="Bordered &amp; Lined - Accent"/>
    <w:uiPriority w:val="99"/>
    <w:qFormat/>
    <w:pPr>
      <w:spacing w:after="0" w:line="240" w:lineRule="auto"/>
    </w:pPr>
    <w:rPr>
      <w:color w:val="404040"/>
    </w:rPr>
    <w:tblPr/>
  </w:style>
  <w:style w:type="table" w:styleId="985" w:customStyle="1">
    <w:name w:val="Bordered &amp; Lined - Accent 1"/>
    <w:uiPriority w:val="99"/>
    <w:qFormat/>
    <w:pPr>
      <w:spacing w:after="0" w:line="240" w:lineRule="auto"/>
    </w:pPr>
    <w:rPr>
      <w:color w:val="404040"/>
    </w:rPr>
    <w:tblPr/>
  </w:style>
  <w:style w:type="table" w:styleId="986" w:customStyle="1">
    <w:name w:val="Bordered &amp; Lined - Accent 2"/>
    <w:uiPriority w:val="99"/>
    <w:qFormat/>
    <w:pPr>
      <w:spacing w:after="0" w:line="240" w:lineRule="auto"/>
    </w:pPr>
    <w:rPr>
      <w:color w:val="404040"/>
    </w:rPr>
    <w:tblPr/>
  </w:style>
  <w:style w:type="table" w:styleId="987" w:customStyle="1">
    <w:name w:val="Bordered &amp; Lined - Accent 3"/>
    <w:uiPriority w:val="99"/>
    <w:qFormat/>
    <w:pPr>
      <w:spacing w:after="0" w:line="240" w:lineRule="auto"/>
    </w:pPr>
    <w:rPr>
      <w:color w:val="404040"/>
    </w:rPr>
    <w:tblPr/>
  </w:style>
  <w:style w:type="table" w:styleId="988" w:customStyle="1">
    <w:name w:val="Bordered &amp; Lined - Accent 4"/>
    <w:uiPriority w:val="99"/>
    <w:qFormat/>
    <w:pPr>
      <w:spacing w:after="0" w:line="240" w:lineRule="auto"/>
    </w:pPr>
    <w:rPr>
      <w:color w:val="404040"/>
    </w:rPr>
    <w:tblPr/>
  </w:style>
  <w:style w:type="table" w:styleId="989" w:customStyle="1">
    <w:name w:val="Bordered &amp; Lined - Accent 5"/>
    <w:uiPriority w:val="99"/>
    <w:qFormat/>
    <w:pPr>
      <w:spacing w:after="0" w:line="240" w:lineRule="auto"/>
    </w:pPr>
    <w:rPr>
      <w:color w:val="404040"/>
    </w:rPr>
    <w:tblPr/>
  </w:style>
  <w:style w:type="table" w:styleId="990" w:customStyle="1">
    <w:name w:val="Bordered &amp; Lined - Accent 6"/>
    <w:uiPriority w:val="99"/>
    <w:qFormat/>
    <w:pPr>
      <w:spacing w:after="0" w:line="240" w:lineRule="auto"/>
    </w:pPr>
    <w:rPr>
      <w:color w:val="404040"/>
    </w:rPr>
    <w:tblPr/>
  </w:style>
  <w:style w:type="table" w:styleId="991" w:customStyle="1">
    <w:name w:val="Bordered"/>
    <w:uiPriority w:val="99"/>
    <w:qFormat/>
    <w:pPr>
      <w:spacing w:after="0" w:line="240" w:lineRule="auto"/>
    </w:pPr>
    <w:tblPr/>
  </w:style>
  <w:style w:type="table" w:styleId="992" w:customStyle="1">
    <w:name w:val="Bordered - Accent 1"/>
    <w:uiPriority w:val="99"/>
    <w:qFormat/>
    <w:pPr>
      <w:spacing w:after="0" w:line="240" w:lineRule="auto"/>
    </w:pPr>
    <w:tblPr/>
  </w:style>
  <w:style w:type="table" w:styleId="993" w:customStyle="1">
    <w:name w:val="Bordered - Accent 2"/>
    <w:uiPriority w:val="99"/>
    <w:qFormat/>
    <w:pPr>
      <w:spacing w:after="0" w:line="240" w:lineRule="auto"/>
    </w:pPr>
    <w:tblPr/>
  </w:style>
  <w:style w:type="table" w:styleId="994" w:customStyle="1">
    <w:name w:val="Bordered - Accent 3"/>
    <w:uiPriority w:val="99"/>
    <w:qFormat/>
    <w:pPr>
      <w:spacing w:after="0" w:line="240" w:lineRule="auto"/>
    </w:pPr>
    <w:tblPr/>
  </w:style>
  <w:style w:type="table" w:styleId="995" w:customStyle="1">
    <w:name w:val="Bordered - Accent 4"/>
    <w:uiPriority w:val="99"/>
    <w:qFormat/>
    <w:pPr>
      <w:spacing w:after="0" w:line="240" w:lineRule="auto"/>
    </w:pPr>
    <w:tblPr/>
  </w:style>
  <w:style w:type="table" w:styleId="996" w:customStyle="1">
    <w:name w:val="Bordered - Accent 5"/>
    <w:uiPriority w:val="99"/>
    <w:qFormat/>
    <w:pPr>
      <w:spacing w:after="0" w:line="240" w:lineRule="auto"/>
    </w:pPr>
    <w:tblPr/>
  </w:style>
  <w:style w:type="table" w:styleId="997" w:customStyle="1">
    <w:name w:val="Bordered - Accent 6"/>
    <w:uiPriority w:val="99"/>
    <w:qFormat/>
    <w:pPr>
      <w:spacing w:after="0" w:line="240" w:lineRule="auto"/>
    </w:pPr>
    <w:tblPr/>
  </w:style>
  <w:style w:type="paragraph" w:styleId="998" w:customStyle="1">
    <w:name w:val="TOC Heading"/>
    <w:uiPriority w:val="39"/>
    <w:unhideWhenUsed/>
    <w:qFormat/>
    <w:rPr>
      <w:rFonts w:hint="default" w:ascii="Times New Roman" w:hAnsi="Times New Roman" w:eastAsia="宋体" w:cs="Times New Roman"/>
    </w:rPr>
  </w:style>
  <w:style w:type="paragraph" w:styleId="999" w:customStyle="1">
    <w:name w:val="标题 11"/>
    <w:basedOn w:val="772"/>
    <w:next w:val="772"/>
    <w:link w:val="1000"/>
    <w:uiPriority w:val="0"/>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character" w:styleId="1000" w:customStyle="1">
    <w:name w:val="标题 1 字符"/>
    <w:link w:val="999"/>
    <w:uiPriority w:val="0"/>
    <w:qFormat/>
    <w:rPr>
      <w:rFonts w:ascii="黑体" w:eastAsia="黑体"/>
      <w:b/>
      <w:sz w:val="24"/>
      <w:szCs w:val="28"/>
      <w:lang w:val="en-US" w:eastAsia="zh-CN" w:bidi="ar-SA"/>
    </w:rPr>
  </w:style>
  <w:style w:type="paragraph" w:styleId="1001" w:customStyle="1">
    <w:name w:val="标题 21"/>
    <w:basedOn w:val="772"/>
    <w:next w:val="1002"/>
    <w:link w:val="1003"/>
    <w:uiPriority w:val="0"/>
    <w:qFormat/>
    <w:pPr>
      <w:jc w:val="left"/>
      <w:keepLines/>
      <w:keepNext/>
      <w:spacing w:before="120" w:after="120"/>
      <w:outlineLvl w:val="1"/>
    </w:pPr>
    <w:rPr>
      <w:rFonts w:ascii="宋体" w:hAnsi="宋体" w:eastAsia="宋体" w:cs="Times New Roman"/>
      <w:b/>
      <w:sz w:val="21"/>
      <w:szCs w:val="24"/>
      <w:lang w:val="en-US"/>
    </w:rPr>
  </w:style>
  <w:style w:type="paragraph" w:styleId="1002" w:customStyle="1">
    <w:name w:val="正文缩进1"/>
    <w:basedOn w:val="772"/>
    <w:uiPriority w:val="0"/>
    <w:qFormat/>
    <w:pPr>
      <w:ind w:firstLine="420"/>
    </w:pPr>
  </w:style>
  <w:style w:type="character" w:styleId="1003" w:customStyle="1">
    <w:name w:val="标题 2 字符"/>
    <w:link w:val="1001"/>
    <w:uiPriority w:val="0"/>
    <w:qFormat/>
    <w:rPr>
      <w:rFonts w:ascii="宋体" w:hAnsi="宋体" w:eastAsia="宋体"/>
      <w:b/>
      <w:sz w:val="21"/>
      <w:szCs w:val="24"/>
      <w:lang w:val="en-US" w:eastAsia="zh-CN" w:bidi="ar-SA"/>
    </w:rPr>
  </w:style>
  <w:style w:type="paragraph" w:styleId="1004" w:customStyle="1">
    <w:name w:val="标题 31"/>
    <w:basedOn w:val="772"/>
    <w:link w:val="1005"/>
    <w:uiPriority w:val="0"/>
    <w:qFormat/>
    <w:pPr>
      <w:keepLines/>
      <w:keepNext/>
      <w:spacing w:line="390" w:lineRule="atLeast"/>
      <w:shd w:val="clear" w:color="auto" w:fill="ffffff"/>
      <w:outlineLvl w:val="2"/>
    </w:pPr>
    <w:rPr>
      <w:rFonts w:ascii="宋体" w:hAnsi="宋体" w:eastAsia="宋体" w:cs="Times New Roman"/>
      <w:b/>
      <w:sz w:val="21"/>
      <w:szCs w:val="21"/>
    </w:rPr>
  </w:style>
  <w:style w:type="character" w:styleId="1005" w:customStyle="1">
    <w:name w:val="标题 3 字符"/>
    <w:link w:val="1004"/>
    <w:uiPriority w:val="0"/>
    <w:qFormat/>
    <w:rPr>
      <w:rFonts w:ascii="宋体" w:hAnsi="宋体" w:eastAsia="宋体"/>
      <w:b/>
      <w:sz w:val="21"/>
      <w:szCs w:val="21"/>
      <w:shd w:val="clear" w:color="auto" w:fill="ffffff"/>
    </w:rPr>
  </w:style>
  <w:style w:type="paragraph" w:styleId="1006" w:customStyle="1">
    <w:name w:val="标题 41"/>
    <w:basedOn w:val="772"/>
    <w:next w:val="772"/>
    <w:link w:val="1007"/>
    <w:uiPriority w:val="0"/>
    <w:qFormat/>
    <w:pPr>
      <w:keepLines/>
      <w:keepNext/>
      <w:spacing w:before="120" w:after="120"/>
      <w:outlineLvl w:val="3"/>
    </w:pPr>
    <w:rPr>
      <w:rFonts w:ascii="Arial" w:hAnsi="Arial" w:eastAsia="黑体" w:cs="Times New Roman"/>
      <w:b/>
      <w:sz w:val="28"/>
      <w:lang w:val="en-US"/>
    </w:rPr>
  </w:style>
  <w:style w:type="character" w:styleId="1007" w:customStyle="1">
    <w:name w:val="标题 4 字符"/>
    <w:link w:val="1006"/>
    <w:uiPriority w:val="0"/>
    <w:qFormat/>
    <w:rPr>
      <w:rFonts w:ascii="Arial" w:hAnsi="Arial" w:eastAsia="黑体"/>
      <w:b/>
      <w:sz w:val="28"/>
      <w:lang w:val="en-US" w:eastAsia="zh-CN" w:bidi="ar-SA"/>
    </w:rPr>
  </w:style>
  <w:style w:type="paragraph" w:styleId="1008" w:customStyle="1">
    <w:name w:val="标题 51"/>
    <w:basedOn w:val="772"/>
    <w:next w:val="1002"/>
    <w:link w:val="1009"/>
    <w:uiPriority w:val="0"/>
    <w:qFormat/>
    <w:pPr>
      <w:keepNext/>
      <w:spacing w:before="156" w:after="156"/>
      <w:outlineLvl w:val="4"/>
    </w:pPr>
    <w:rPr>
      <w:rFonts w:ascii="黑体" w:hAnsi="Times New Roman" w:eastAsia="黑体" w:cs="Times New Roman"/>
      <w:b/>
      <w:color w:val="000000"/>
      <w:sz w:val="28"/>
      <w:lang w:val="en-US"/>
    </w:rPr>
  </w:style>
  <w:style w:type="character" w:styleId="1009" w:customStyle="1">
    <w:name w:val="标题 5 字符"/>
    <w:link w:val="1008"/>
    <w:uiPriority w:val="0"/>
    <w:qFormat/>
    <w:rPr>
      <w:rFonts w:ascii="黑体" w:eastAsia="黑体"/>
      <w:b/>
      <w:color w:val="000000"/>
      <w:sz w:val="28"/>
      <w:lang w:val="en-US" w:eastAsia="zh-CN" w:bidi="ar-SA"/>
    </w:rPr>
  </w:style>
  <w:style w:type="paragraph" w:styleId="1010" w:customStyle="1">
    <w:name w:val="标题 61"/>
    <w:basedOn w:val="772"/>
    <w:next w:val="772"/>
    <w:link w:val="1011"/>
    <w:uiPriority w:val="0"/>
    <w:qFormat/>
    <w:pPr>
      <w:keepLines/>
      <w:keepNext/>
      <w:spacing w:before="240" w:after="64" w:line="320" w:lineRule="auto"/>
      <w:outlineLvl w:val="5"/>
    </w:pPr>
    <w:rPr>
      <w:rFonts w:ascii="Arial" w:hAnsi="Arial" w:eastAsia="黑体" w:cs="Times New Roman"/>
      <w:b/>
      <w:bCs/>
      <w:sz w:val="24"/>
      <w:szCs w:val="24"/>
      <w:lang w:val="en-US"/>
    </w:rPr>
  </w:style>
  <w:style w:type="character" w:styleId="1011" w:customStyle="1">
    <w:name w:val="标题 6 字符"/>
    <w:link w:val="1010"/>
    <w:uiPriority w:val="0"/>
    <w:qFormat/>
    <w:rPr>
      <w:rFonts w:ascii="Arial" w:hAnsi="Arial" w:eastAsia="黑体"/>
      <w:b/>
      <w:bCs/>
      <w:sz w:val="24"/>
      <w:szCs w:val="24"/>
      <w:lang w:val="en-US" w:eastAsia="zh-CN" w:bidi="ar-SA"/>
    </w:rPr>
  </w:style>
  <w:style w:type="paragraph" w:styleId="1012" w:customStyle="1">
    <w:name w:val="标题 71"/>
    <w:basedOn w:val="772"/>
    <w:next w:val="772"/>
    <w:link w:val="1013"/>
    <w:uiPriority w:val="0"/>
    <w:qFormat/>
    <w:pPr>
      <w:keepLines/>
      <w:keepNext/>
      <w:spacing w:before="240" w:after="64" w:line="320" w:lineRule="auto"/>
      <w:outlineLvl w:val="6"/>
    </w:pPr>
    <w:rPr>
      <w:rFonts w:ascii="Times New Roman" w:hAnsi="Times New Roman" w:eastAsia="宋体" w:cs="Times New Roman"/>
      <w:b/>
      <w:bCs/>
      <w:sz w:val="24"/>
      <w:szCs w:val="24"/>
      <w:lang w:val="en-US"/>
    </w:rPr>
  </w:style>
  <w:style w:type="character" w:styleId="1013" w:customStyle="1">
    <w:name w:val="标题 7 字符"/>
    <w:link w:val="1012"/>
    <w:uiPriority w:val="0"/>
    <w:qFormat/>
    <w:rPr>
      <w:rFonts w:eastAsia="宋体"/>
      <w:b/>
      <w:bCs/>
      <w:sz w:val="24"/>
      <w:szCs w:val="24"/>
      <w:lang w:val="en-US" w:eastAsia="zh-CN" w:bidi="ar-SA"/>
    </w:rPr>
  </w:style>
  <w:style w:type="paragraph" w:styleId="1014" w:customStyle="1">
    <w:name w:val="标题 81"/>
    <w:basedOn w:val="772"/>
    <w:next w:val="772"/>
    <w:link w:val="1015"/>
    <w:uiPriority w:val="0"/>
    <w:qFormat/>
    <w:pPr>
      <w:keepLines/>
      <w:keepNext/>
      <w:spacing w:before="240" w:after="64" w:line="320" w:lineRule="auto"/>
      <w:outlineLvl w:val="7"/>
    </w:pPr>
    <w:rPr>
      <w:rFonts w:ascii="Arial" w:hAnsi="Arial" w:eastAsia="黑体" w:cs="Times New Roman"/>
      <w:sz w:val="24"/>
      <w:szCs w:val="24"/>
      <w:lang w:val="en-US"/>
    </w:rPr>
  </w:style>
  <w:style w:type="character" w:styleId="1015" w:customStyle="1">
    <w:name w:val="标题 8 字符"/>
    <w:link w:val="1014"/>
    <w:uiPriority w:val="0"/>
    <w:qFormat/>
    <w:rPr>
      <w:rFonts w:ascii="Arial" w:hAnsi="Arial" w:eastAsia="黑体"/>
      <w:sz w:val="24"/>
      <w:szCs w:val="24"/>
      <w:lang w:val="en-US" w:eastAsia="zh-CN" w:bidi="ar-SA"/>
    </w:rPr>
  </w:style>
  <w:style w:type="paragraph" w:styleId="1016" w:customStyle="1">
    <w:name w:val="标题 91"/>
    <w:basedOn w:val="772"/>
    <w:next w:val="772"/>
    <w:link w:val="1017"/>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1017" w:customStyle="1">
    <w:name w:val="标题 9 字符"/>
    <w:link w:val="1016"/>
    <w:uiPriority w:val="0"/>
    <w:qFormat/>
    <w:rPr>
      <w:rFonts w:ascii="Arial" w:hAnsi="Arial" w:eastAsia="黑体"/>
      <w:sz w:val="21"/>
      <w:szCs w:val="21"/>
      <w:lang w:val="en-US" w:eastAsia="zh-CN" w:bidi="ar-SA"/>
    </w:rPr>
  </w:style>
  <w:style w:type="character" w:styleId="1018" w:customStyle="1">
    <w:name w:val="默认段落字体1"/>
    <w:link w:val="772"/>
    <w:uiPriority w:val="0"/>
    <w:semiHidden/>
    <w:qFormat/>
  </w:style>
  <w:style w:type="table" w:styleId="1019" w:customStyle="1">
    <w:name w:val="普通表格1"/>
    <w:uiPriority w:val="99"/>
    <w:unhideWhenUsed/>
    <w:qFormat/>
    <w:tblPr/>
  </w:style>
  <w:style w:type="paragraph" w:styleId="1020" w:customStyle="1">
    <w:name w:val="列表 31"/>
    <w:basedOn w:val="772"/>
    <w:uiPriority w:val="0"/>
    <w:qFormat/>
    <w:pPr>
      <w:ind w:left="1260" w:hanging="420"/>
    </w:pPr>
  </w:style>
  <w:style w:type="paragraph" w:styleId="1021" w:customStyle="1">
    <w:name w:val="目录 71"/>
    <w:basedOn w:val="772"/>
    <w:next w:val="772"/>
    <w:uiPriority w:val="0"/>
    <w:semiHidden/>
    <w:qFormat/>
    <w:pPr>
      <w:ind w:left="1260"/>
      <w:jc w:val="left"/>
    </w:pPr>
    <w:rPr>
      <w:sz w:val="18"/>
    </w:rPr>
  </w:style>
  <w:style w:type="paragraph" w:styleId="1022" w:customStyle="1">
    <w:name w:val="列表编号 21"/>
    <w:basedOn w:val="772"/>
    <w:uiPriority w:val="0"/>
    <w:qFormat/>
    <w:pPr>
      <w:ind w:left="1440" w:hanging="1440"/>
      <w:spacing w:line="360" w:lineRule="auto"/>
      <w:tabs>
        <w:tab w:val="left" w:pos="1440" w:leader="none"/>
      </w:tabs>
    </w:pPr>
    <w:rPr>
      <w:sz w:val="24"/>
      <w:szCs w:val="24"/>
    </w:rPr>
  </w:style>
  <w:style w:type="paragraph" w:styleId="1023" w:customStyle="1">
    <w:name w:val="索引 81"/>
    <w:basedOn w:val="772"/>
    <w:next w:val="772"/>
    <w:uiPriority w:val="0"/>
    <w:semiHidden/>
    <w:qFormat/>
    <w:pPr>
      <w:ind w:left="2940"/>
    </w:pPr>
  </w:style>
  <w:style w:type="paragraph" w:styleId="1024" w:customStyle="1">
    <w:name w:val="列表编号1"/>
    <w:basedOn w:val="772"/>
    <w:uiPriority w:val="0"/>
    <w:qFormat/>
    <w:pPr>
      <w:ind w:left="2952" w:hanging="432"/>
      <w:tabs>
        <w:tab w:val="left" w:pos="2952" w:leader="none"/>
      </w:tabs>
    </w:pPr>
    <w:rPr>
      <w:szCs w:val="24"/>
    </w:rPr>
  </w:style>
  <w:style w:type="paragraph" w:styleId="1025" w:customStyle="1">
    <w:name w:val="索引 51"/>
    <w:basedOn w:val="772"/>
    <w:next w:val="772"/>
    <w:uiPriority w:val="0"/>
    <w:semiHidden/>
    <w:qFormat/>
    <w:pPr>
      <w:ind w:left="1680"/>
    </w:pPr>
  </w:style>
  <w:style w:type="paragraph" w:styleId="1026" w:customStyle="1">
    <w:name w:val="文档结构图1"/>
    <w:basedOn w:val="772"/>
    <w:link w:val="1027"/>
    <w:uiPriority w:val="0"/>
    <w:semiHidden/>
    <w:qFormat/>
    <w:pPr>
      <w:shd w:val="clear" w:color="auto" w:fill="000080"/>
    </w:pPr>
    <w:rPr>
      <w:rFonts w:ascii="Times New Roman" w:hAnsi="Times New Roman" w:eastAsia="宋体" w:cs="Times New Roman"/>
      <w:sz w:val="21"/>
      <w:lang w:val="en-US"/>
    </w:rPr>
  </w:style>
  <w:style w:type="character" w:styleId="1027" w:customStyle="1">
    <w:name w:val="文档结构图 字符"/>
    <w:link w:val="1026"/>
    <w:uiPriority w:val="0"/>
    <w:qFormat/>
    <w:rPr>
      <w:rFonts w:eastAsia="宋体"/>
      <w:sz w:val="21"/>
      <w:lang w:val="en-US" w:eastAsia="zh-CN" w:bidi="ar-SA"/>
    </w:rPr>
  </w:style>
  <w:style w:type="paragraph" w:styleId="1028" w:customStyle="1">
    <w:name w:val="批注文字1"/>
    <w:basedOn w:val="772"/>
    <w:link w:val="1029"/>
    <w:uiPriority w:val="99"/>
    <w:qFormat/>
    <w:pPr>
      <w:jc w:val="left"/>
    </w:pPr>
    <w:rPr>
      <w:rFonts w:ascii="Times New Roman" w:hAnsi="Times New Roman" w:eastAsia="宋体" w:cs="Times New Roman"/>
      <w:sz w:val="21"/>
      <w:lang w:val="en-US"/>
    </w:rPr>
  </w:style>
  <w:style w:type="character" w:styleId="1029" w:customStyle="1">
    <w:name w:val="批注文字 字符"/>
    <w:link w:val="1028"/>
    <w:uiPriority w:val="99"/>
    <w:qFormat/>
    <w:rPr>
      <w:rFonts w:eastAsia="宋体"/>
      <w:sz w:val="21"/>
      <w:lang w:val="en-US" w:eastAsia="zh-CN" w:bidi="ar-SA"/>
    </w:rPr>
  </w:style>
  <w:style w:type="paragraph" w:styleId="1030" w:customStyle="1">
    <w:name w:val="索引 61"/>
    <w:basedOn w:val="772"/>
    <w:next w:val="772"/>
    <w:uiPriority w:val="0"/>
    <w:semiHidden/>
    <w:qFormat/>
    <w:pPr>
      <w:ind w:left="2100"/>
    </w:pPr>
  </w:style>
  <w:style w:type="paragraph" w:styleId="1031" w:customStyle="1">
    <w:name w:val="称呼1"/>
    <w:basedOn w:val="772"/>
    <w:next w:val="772"/>
    <w:uiPriority w:val="0"/>
    <w:qFormat/>
    <w:rPr>
      <w:rFonts w:ascii="仿宋_GB2312" w:eastAsia="仿宋_GB2312"/>
      <w:sz w:val="28"/>
    </w:rPr>
  </w:style>
  <w:style w:type="paragraph" w:styleId="1032" w:customStyle="1">
    <w:name w:val="正文文本 31"/>
    <w:basedOn w:val="772"/>
    <w:uiPriority w:val="0"/>
    <w:qFormat/>
    <w:rPr>
      <w:rFonts w:ascii="仿宋_GB2312" w:hAnsi="Arial" w:eastAsia="仿宋_GB2312"/>
      <w:sz w:val="32"/>
    </w:rPr>
  </w:style>
  <w:style w:type="paragraph" w:styleId="1033" w:customStyle="1">
    <w:name w:val="正文文本1"/>
    <w:basedOn w:val="772"/>
    <w:uiPriority w:val="0"/>
    <w:qFormat/>
    <w:rPr>
      <w:rFonts w:ascii="楷体_GB2312" w:hAnsi="Arial" w:eastAsia="楷体_GB2312"/>
      <w:sz w:val="28"/>
    </w:rPr>
  </w:style>
  <w:style w:type="paragraph" w:styleId="1034" w:customStyle="1">
    <w:name w:val="正文文本缩进11"/>
    <w:basedOn w:val="772"/>
    <w:link w:val="1035"/>
    <w:uiPriority w:val="0"/>
    <w:qFormat/>
    <w:pPr>
      <w:ind w:firstLine="645"/>
    </w:pPr>
    <w:rPr>
      <w:rFonts w:ascii="楷体_GB2312" w:hAnsi="Times New Roman" w:eastAsia="楷体_GB2312" w:cs="Times New Roman"/>
      <w:sz w:val="32"/>
      <w:lang w:val="en-US"/>
    </w:rPr>
  </w:style>
  <w:style w:type="character" w:styleId="1035" w:customStyle="1">
    <w:name w:val="正文文本缩进 字符"/>
    <w:link w:val="1034"/>
    <w:uiPriority w:val="0"/>
    <w:qFormat/>
    <w:rPr>
      <w:rFonts w:ascii="楷体_GB2312" w:eastAsia="楷体_GB2312"/>
      <w:sz w:val="32"/>
      <w:lang w:val="en-US" w:eastAsia="zh-CN" w:bidi="ar-SA"/>
    </w:rPr>
  </w:style>
  <w:style w:type="paragraph" w:styleId="1036" w:customStyle="1">
    <w:name w:val="文本块1"/>
    <w:basedOn w:val="772"/>
    <w:uiPriority w:val="99"/>
    <w:unhideWhenUsed/>
    <w:qFormat/>
    <w:pPr>
      <w:ind w:left="1440" w:right="1440"/>
      <w:spacing w:after="120"/>
    </w:pPr>
  </w:style>
  <w:style w:type="paragraph" w:styleId="1037" w:customStyle="1">
    <w:name w:val="索引 41"/>
    <w:basedOn w:val="772"/>
    <w:next w:val="772"/>
    <w:uiPriority w:val="0"/>
    <w:semiHidden/>
    <w:qFormat/>
    <w:pPr>
      <w:ind w:left="1260"/>
    </w:pPr>
  </w:style>
  <w:style w:type="paragraph" w:styleId="1038" w:customStyle="1">
    <w:name w:val="目录 51"/>
    <w:basedOn w:val="772"/>
    <w:next w:val="772"/>
    <w:uiPriority w:val="0"/>
    <w:semiHidden/>
    <w:qFormat/>
    <w:pPr>
      <w:ind w:left="840"/>
      <w:jc w:val="left"/>
    </w:pPr>
    <w:rPr>
      <w:sz w:val="18"/>
    </w:rPr>
  </w:style>
  <w:style w:type="paragraph" w:styleId="1039" w:customStyle="1">
    <w:name w:val="目录 31"/>
    <w:basedOn w:val="772"/>
    <w:next w:val="772"/>
    <w:uiPriority w:val="0"/>
    <w:semiHidden/>
    <w:qFormat/>
    <w:pPr>
      <w:ind w:left="420"/>
      <w:jc w:val="left"/>
    </w:pPr>
    <w:rPr>
      <w:i/>
      <w:sz w:val="20"/>
    </w:rPr>
  </w:style>
  <w:style w:type="paragraph" w:styleId="1040" w:customStyle="1">
    <w:name w:val="纯文本11"/>
    <w:basedOn w:val="772"/>
    <w:link w:val="1041"/>
    <w:uiPriority w:val="0"/>
    <w:qFormat/>
    <w:rPr>
      <w:rFonts w:ascii="宋体" w:hAnsi="Courier New" w:eastAsia="宋体" w:cs="Times New Roman"/>
      <w:sz w:val="21"/>
      <w:lang w:val="en-US"/>
    </w:rPr>
  </w:style>
  <w:style w:type="character" w:styleId="1041" w:customStyle="1">
    <w:name w:val="纯文本 字符"/>
    <w:link w:val="1040"/>
    <w:uiPriority w:val="0"/>
    <w:qFormat/>
    <w:rPr>
      <w:rFonts w:ascii="宋体" w:hAnsi="Courier New" w:eastAsia="宋体"/>
      <w:sz w:val="21"/>
      <w:lang w:val="en-US" w:eastAsia="zh-CN" w:bidi="ar-SA"/>
    </w:rPr>
  </w:style>
  <w:style w:type="paragraph" w:styleId="1042" w:customStyle="1">
    <w:name w:val="目录 81"/>
    <w:basedOn w:val="772"/>
    <w:next w:val="772"/>
    <w:uiPriority w:val="0"/>
    <w:semiHidden/>
    <w:qFormat/>
    <w:pPr>
      <w:ind w:left="1470"/>
      <w:jc w:val="left"/>
    </w:pPr>
    <w:rPr>
      <w:sz w:val="18"/>
    </w:rPr>
  </w:style>
  <w:style w:type="paragraph" w:styleId="1043" w:customStyle="1">
    <w:name w:val="索引 31"/>
    <w:basedOn w:val="772"/>
    <w:next w:val="772"/>
    <w:uiPriority w:val="0"/>
    <w:semiHidden/>
    <w:qFormat/>
    <w:pPr>
      <w:ind w:left="840"/>
    </w:pPr>
  </w:style>
  <w:style w:type="paragraph" w:styleId="1044" w:customStyle="1">
    <w:name w:val="日期1"/>
    <w:basedOn w:val="772"/>
    <w:next w:val="772"/>
    <w:uiPriority w:val="0"/>
    <w:qFormat/>
    <w:pPr>
      <w:ind w:left="100"/>
    </w:pPr>
    <w:rPr>
      <w:sz w:val="28"/>
    </w:rPr>
  </w:style>
  <w:style w:type="paragraph" w:styleId="1045" w:customStyle="1">
    <w:name w:val="正文文本缩进 21"/>
    <w:basedOn w:val="772"/>
    <w:link w:val="1046"/>
    <w:uiPriority w:val="0"/>
    <w:qFormat/>
    <w:pPr>
      <w:ind w:left="630" w:firstLine="645"/>
    </w:pPr>
    <w:rPr>
      <w:rFonts w:ascii="Arial" w:hAnsi="Arial" w:eastAsia="仿宋_GB2312" w:cs="Times New Roman"/>
      <w:sz w:val="32"/>
      <w:lang w:val="en-US"/>
    </w:rPr>
  </w:style>
  <w:style w:type="character" w:styleId="1046" w:customStyle="1">
    <w:name w:val="正文文本缩进 2 字符"/>
    <w:link w:val="1045"/>
    <w:uiPriority w:val="0"/>
    <w:qFormat/>
    <w:rPr>
      <w:rFonts w:ascii="Arial" w:hAnsi="Arial" w:eastAsia="仿宋_GB2312"/>
      <w:sz w:val="32"/>
      <w:lang w:val="en-US" w:eastAsia="zh-CN" w:bidi="ar-SA"/>
    </w:rPr>
  </w:style>
  <w:style w:type="paragraph" w:styleId="1047" w:customStyle="1">
    <w:name w:val="尾注文本1"/>
    <w:basedOn w:val="772"/>
    <w:uiPriority w:val="0"/>
    <w:qFormat/>
    <w:pPr>
      <w:jc w:val="left"/>
    </w:pPr>
    <w:rPr>
      <w:sz w:val="20"/>
      <w:szCs w:val="24"/>
    </w:rPr>
  </w:style>
  <w:style w:type="paragraph" w:styleId="1048" w:customStyle="1">
    <w:name w:val="批注框文本1"/>
    <w:basedOn w:val="772"/>
    <w:uiPriority w:val="0"/>
    <w:semiHidden/>
    <w:qFormat/>
    <w:rPr>
      <w:sz w:val="18"/>
      <w:szCs w:val="18"/>
    </w:rPr>
  </w:style>
  <w:style w:type="paragraph" w:styleId="1049" w:customStyle="1">
    <w:name w:val="页脚1"/>
    <w:basedOn w:val="772"/>
    <w:link w:val="1050"/>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1050" w:customStyle="1">
    <w:name w:val="页脚 字符"/>
    <w:link w:val="1049"/>
    <w:uiPriority w:val="0"/>
    <w:qFormat/>
    <w:rPr>
      <w:sz w:val="18"/>
    </w:rPr>
  </w:style>
  <w:style w:type="paragraph" w:styleId="1051" w:customStyle="1">
    <w:name w:val="页眉1"/>
    <w:basedOn w:val="772"/>
    <w:uiPriority w:val="0"/>
    <w:qFormat/>
    <w:pPr>
      <w:jc w:val="center"/>
      <w:tabs>
        <w:tab w:val="center" w:pos="4153" w:leader="none"/>
        <w:tab w:val="right" w:pos="8306" w:leader="none"/>
      </w:tabs>
      <w:pBdr>
        <w:bottom w:val="single" w:color="000000" w:sz="6" w:space="1"/>
      </w:pBdr>
    </w:pPr>
    <w:rPr>
      <w:sz w:val="18"/>
    </w:rPr>
  </w:style>
  <w:style w:type="paragraph" w:styleId="1052" w:customStyle="1">
    <w:name w:val="签名1"/>
    <w:basedOn w:val="772"/>
    <w:uiPriority w:val="0"/>
    <w:qFormat/>
    <w:pPr>
      <w:jc w:val="center"/>
      <w:spacing w:after="600" w:line="312" w:lineRule="atLeast"/>
    </w:pPr>
    <w:rPr>
      <w:rFonts w:eastAsia="仿宋_GB2312"/>
      <w:sz w:val="24"/>
    </w:rPr>
  </w:style>
  <w:style w:type="paragraph" w:styleId="1053" w:customStyle="1">
    <w:name w:val="目录 11"/>
    <w:basedOn w:val="772"/>
    <w:next w:val="772"/>
    <w:uiPriority w:val="0"/>
    <w:semiHidden/>
    <w:qFormat/>
    <w:pPr>
      <w:jc w:val="left"/>
      <w:spacing w:before="120" w:after="120"/>
    </w:pPr>
    <w:rPr>
      <w:b/>
      <w:caps/>
      <w:sz w:val="20"/>
    </w:rPr>
  </w:style>
  <w:style w:type="paragraph" w:styleId="1054" w:customStyle="1">
    <w:name w:val="目录 41"/>
    <w:basedOn w:val="772"/>
    <w:next w:val="772"/>
    <w:uiPriority w:val="0"/>
    <w:semiHidden/>
    <w:qFormat/>
    <w:pPr>
      <w:ind w:left="630"/>
      <w:jc w:val="left"/>
    </w:pPr>
    <w:rPr>
      <w:sz w:val="18"/>
    </w:rPr>
  </w:style>
  <w:style w:type="paragraph" w:styleId="1055" w:customStyle="1">
    <w:name w:val="索引标题1"/>
    <w:basedOn w:val="772"/>
    <w:next w:val="1056"/>
    <w:uiPriority w:val="0"/>
    <w:semiHidden/>
    <w:qFormat/>
  </w:style>
  <w:style w:type="paragraph" w:styleId="1056" w:customStyle="1">
    <w:name w:val="索引 11"/>
    <w:basedOn w:val="772"/>
    <w:next w:val="772"/>
    <w:uiPriority w:val="0"/>
    <w:semiHidden/>
    <w:qFormat/>
    <w:rPr>
      <w:rFonts w:ascii="仿宋_GB2312" w:hAnsi="宋体" w:eastAsia="仿宋_GB2312"/>
      <w:sz w:val="30"/>
      <w:szCs w:val="24"/>
    </w:rPr>
  </w:style>
  <w:style w:type="paragraph" w:styleId="1057" w:customStyle="1">
    <w:name w:val="副标题1"/>
    <w:basedOn w:val="772"/>
    <w:next w:val="772"/>
    <w:uiPriority w:val="0"/>
    <w:qFormat/>
    <w:pPr>
      <w:jc w:val="left"/>
      <w:spacing w:after="600" w:line="276" w:lineRule="auto"/>
      <w:widowControl/>
    </w:pPr>
    <w:rPr>
      <w:rFonts w:ascii="Cambria" w:hAnsi="Cambria"/>
      <w:i/>
      <w:iCs/>
      <w:spacing w:val="13"/>
      <w:sz w:val="24"/>
      <w:szCs w:val="24"/>
      <w:lang w:eastAsia="en-US" w:bidi="en-US"/>
    </w:rPr>
  </w:style>
  <w:style w:type="paragraph" w:styleId="1058" w:customStyle="1">
    <w:name w:val="脚注文本1"/>
    <w:basedOn w:val="772"/>
    <w:uiPriority w:val="0"/>
    <w:qFormat/>
    <w:pPr>
      <w:jc w:val="left"/>
    </w:pPr>
    <w:rPr>
      <w:sz w:val="18"/>
      <w:szCs w:val="18"/>
    </w:rPr>
  </w:style>
  <w:style w:type="paragraph" w:styleId="1059" w:customStyle="1">
    <w:name w:val="目录 61"/>
    <w:basedOn w:val="772"/>
    <w:next w:val="772"/>
    <w:uiPriority w:val="0"/>
    <w:semiHidden/>
    <w:qFormat/>
    <w:pPr>
      <w:ind w:left="1050"/>
      <w:jc w:val="left"/>
    </w:pPr>
    <w:rPr>
      <w:sz w:val="18"/>
    </w:rPr>
  </w:style>
  <w:style w:type="paragraph" w:styleId="1060" w:customStyle="1">
    <w:name w:val="正文文本缩进 31"/>
    <w:basedOn w:val="772"/>
    <w:link w:val="1061"/>
    <w:uiPriority w:val="0"/>
    <w:qFormat/>
    <w:pPr>
      <w:ind w:left="645" w:firstLine="645"/>
    </w:pPr>
    <w:rPr>
      <w:rFonts w:ascii="Arial" w:hAnsi="Arial" w:eastAsia="仿宋_GB2312" w:cs="Times New Roman"/>
      <w:color w:val="ffff00"/>
      <w:sz w:val="32"/>
      <w:lang w:val="en-US"/>
    </w:rPr>
  </w:style>
  <w:style w:type="character" w:styleId="1061" w:customStyle="1">
    <w:name w:val="正文文本缩进 3 字符"/>
    <w:link w:val="1060"/>
    <w:uiPriority w:val="0"/>
    <w:qFormat/>
    <w:rPr>
      <w:rFonts w:ascii="Arial" w:hAnsi="Arial" w:eastAsia="仿宋_GB2312"/>
      <w:color w:val="ffff00"/>
      <w:sz w:val="32"/>
      <w:lang w:val="en-US" w:eastAsia="zh-CN" w:bidi="ar-SA"/>
    </w:rPr>
  </w:style>
  <w:style w:type="paragraph" w:styleId="1062" w:customStyle="1">
    <w:name w:val="索引 71"/>
    <w:basedOn w:val="772"/>
    <w:next w:val="772"/>
    <w:uiPriority w:val="0"/>
    <w:semiHidden/>
    <w:qFormat/>
    <w:pPr>
      <w:ind w:left="2520"/>
    </w:pPr>
  </w:style>
  <w:style w:type="paragraph" w:styleId="1063" w:customStyle="1">
    <w:name w:val="索引 91"/>
    <w:basedOn w:val="772"/>
    <w:next w:val="772"/>
    <w:uiPriority w:val="0"/>
    <w:semiHidden/>
    <w:qFormat/>
    <w:pPr>
      <w:ind w:left="3360"/>
    </w:pPr>
  </w:style>
  <w:style w:type="paragraph" w:styleId="1064" w:customStyle="1">
    <w:name w:val="图表目录1"/>
    <w:basedOn w:val="772"/>
    <w:next w:val="772"/>
    <w:uiPriority w:val="0"/>
    <w:semiHidden/>
    <w:qFormat/>
    <w:pPr>
      <w:ind w:left="840" w:hanging="420"/>
    </w:pPr>
  </w:style>
  <w:style w:type="paragraph" w:styleId="1065" w:customStyle="1">
    <w:name w:val="目录 21"/>
    <w:basedOn w:val="772"/>
    <w:next w:val="772"/>
    <w:uiPriority w:val="0"/>
    <w:semiHidden/>
    <w:qFormat/>
    <w:pPr>
      <w:ind w:left="210"/>
      <w:jc w:val="left"/>
    </w:pPr>
    <w:rPr>
      <w:smallCaps/>
      <w:sz w:val="20"/>
    </w:rPr>
  </w:style>
  <w:style w:type="paragraph" w:styleId="1066" w:customStyle="1">
    <w:name w:val="目录 91"/>
    <w:basedOn w:val="772"/>
    <w:next w:val="772"/>
    <w:uiPriority w:val="0"/>
    <w:semiHidden/>
    <w:qFormat/>
    <w:pPr>
      <w:ind w:left="1680"/>
      <w:jc w:val="left"/>
    </w:pPr>
    <w:rPr>
      <w:sz w:val="18"/>
    </w:rPr>
  </w:style>
  <w:style w:type="paragraph" w:styleId="1067" w:customStyle="1">
    <w:name w:val="正文文本 211"/>
    <w:basedOn w:val="772"/>
    <w:uiPriority w:val="0"/>
    <w:qFormat/>
    <w:pPr>
      <w:jc w:val="center"/>
      <w:widowControl/>
    </w:pPr>
    <w:rPr>
      <w:rFonts w:ascii="楷体_GB2312" w:eastAsia="楷体_GB2312"/>
      <w:sz w:val="28"/>
    </w:rPr>
  </w:style>
  <w:style w:type="paragraph" w:styleId="1068" w:customStyle="1">
    <w:name w:val="HTML 预设格式1"/>
    <w:basedOn w:val="772"/>
    <w:link w:val="10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69" w:customStyle="1">
    <w:name w:val="HTML 预设格式 字符"/>
    <w:link w:val="1068"/>
    <w:uiPriority w:val="0"/>
    <w:qFormat/>
    <w:rPr>
      <w:rFonts w:ascii="黑体" w:hAnsi="Courier New" w:eastAsia="黑体" w:cs="Courier New"/>
      <w:lang w:val="en-US" w:eastAsia="zh-CN" w:bidi="ar-SA"/>
    </w:rPr>
  </w:style>
  <w:style w:type="paragraph" w:styleId="1070" w:customStyle="1">
    <w:name w:val="普通(网站)1"/>
    <w:basedOn w:val="772"/>
    <w:uiPriority w:val="0"/>
    <w:qFormat/>
    <w:pPr>
      <w:jc w:val="left"/>
      <w:spacing w:before="100" w:beforeAutospacing="1" w:after="100" w:afterAutospacing="1"/>
      <w:widowControl/>
    </w:pPr>
    <w:rPr>
      <w:rFonts w:ascii="Arial" w:hAnsi="Arial" w:eastAsia="Arial Unicode MS" w:cs="Arial"/>
      <w:sz w:val="24"/>
      <w:szCs w:val="24"/>
    </w:rPr>
  </w:style>
  <w:style w:type="paragraph" w:styleId="1071" w:customStyle="1">
    <w:name w:val="索引 21"/>
    <w:basedOn w:val="772"/>
    <w:next w:val="772"/>
    <w:uiPriority w:val="0"/>
    <w:semiHidden/>
    <w:qFormat/>
    <w:pPr>
      <w:ind w:left="420"/>
    </w:pPr>
  </w:style>
  <w:style w:type="paragraph" w:styleId="1072" w:customStyle="1">
    <w:name w:val="标题1"/>
    <w:basedOn w:val="772"/>
    <w:link w:val="1073"/>
    <w:uiPriority w:val="0"/>
    <w:qFormat/>
    <w:pPr>
      <w:jc w:val="center"/>
      <w:spacing w:line="420" w:lineRule="exact"/>
      <w:widowControl/>
    </w:pPr>
    <w:rPr>
      <w:rFonts w:ascii="Times New Roman" w:hAnsi="Times New Roman" w:eastAsia="黑体" w:cs="Times New Roman"/>
      <w:b/>
      <w:sz w:val="28"/>
      <w:lang w:val="en-GB"/>
    </w:rPr>
  </w:style>
  <w:style w:type="character" w:styleId="1073" w:customStyle="1">
    <w:name w:val="标题 字符"/>
    <w:link w:val="1072"/>
    <w:uiPriority w:val="0"/>
    <w:qFormat/>
    <w:rPr>
      <w:rFonts w:eastAsia="黑体"/>
      <w:b/>
      <w:sz w:val="28"/>
      <w:lang w:val="en-GB" w:eastAsia="zh-CN" w:bidi="ar-SA"/>
    </w:rPr>
  </w:style>
  <w:style w:type="paragraph" w:styleId="1074" w:customStyle="1">
    <w:name w:val="批注主题1"/>
    <w:basedOn w:val="1028"/>
    <w:next w:val="1028"/>
    <w:link w:val="1075"/>
    <w:uiPriority w:val="0"/>
    <w:semiHidden/>
    <w:qFormat/>
    <w:rPr>
      <w:b/>
      <w:bCs/>
    </w:rPr>
  </w:style>
  <w:style w:type="character" w:styleId="1075" w:customStyle="1">
    <w:name w:val="批注主题 字符"/>
    <w:link w:val="1074"/>
    <w:uiPriority w:val="0"/>
    <w:qFormat/>
    <w:rPr>
      <w:rFonts w:eastAsia="宋体"/>
      <w:b/>
      <w:bCs/>
      <w:sz w:val="21"/>
      <w:lang w:val="en-US" w:eastAsia="zh-CN" w:bidi="ar-SA"/>
    </w:rPr>
  </w:style>
  <w:style w:type="paragraph" w:styleId="1076" w:customStyle="1">
    <w:name w:val="正文首行缩进1"/>
    <w:basedOn w:val="1033"/>
    <w:uiPriority w:val="0"/>
    <w:qFormat/>
    <w:pPr>
      <w:ind w:firstLine="420"/>
      <w:spacing w:after="120"/>
    </w:pPr>
    <w:rPr>
      <w:rFonts w:ascii="Times New Roman" w:hAnsi="Times New Roman" w:eastAsia="宋体"/>
      <w:sz w:val="21"/>
      <w:szCs w:val="24"/>
    </w:rPr>
  </w:style>
  <w:style w:type="table" w:styleId="1077" w:customStyle="1">
    <w:name w:val="网格型1"/>
    <w:basedOn w:val="1019"/>
    <w:uiPriority w:val="39"/>
    <w:qFormat/>
    <w:tblPr/>
  </w:style>
  <w:style w:type="character" w:styleId="1078" w:customStyle="1">
    <w:name w:val="要点1"/>
    <w:link w:val="772"/>
    <w:uiPriority w:val="0"/>
    <w:qFormat/>
    <w:rPr>
      <w:b/>
      <w:bCs/>
    </w:rPr>
  </w:style>
  <w:style w:type="character" w:styleId="1079" w:customStyle="1">
    <w:name w:val="尾注引用1"/>
    <w:link w:val="772"/>
    <w:uiPriority w:val="0"/>
    <w:qFormat/>
    <w:rPr>
      <w:vertAlign w:val="superscript"/>
    </w:rPr>
  </w:style>
  <w:style w:type="character" w:styleId="1080" w:customStyle="1">
    <w:name w:val="页码1"/>
    <w:link w:val="772"/>
    <w:uiPriority w:val="0"/>
    <w:qFormat/>
  </w:style>
  <w:style w:type="character" w:styleId="1081" w:customStyle="1">
    <w:name w:val="已访问的超链接11"/>
    <w:link w:val="772"/>
    <w:uiPriority w:val="0"/>
    <w:qFormat/>
    <w:rPr>
      <w:color w:val="800080"/>
      <w:u w:val="single"/>
    </w:rPr>
  </w:style>
  <w:style w:type="character" w:styleId="1082" w:customStyle="1">
    <w:name w:val="强调1"/>
    <w:link w:val="772"/>
    <w:uiPriority w:val="0"/>
    <w:qFormat/>
    <w:rPr>
      <w:b/>
      <w:bCs/>
      <w:i/>
      <w:iCs/>
      <w:spacing w:val="10"/>
      <w:shd w:val="clear" w:color="auto" w:fill="auto"/>
    </w:rPr>
  </w:style>
  <w:style w:type="character" w:styleId="1083" w:customStyle="1">
    <w:name w:val="行号1"/>
    <w:link w:val="772"/>
    <w:uiPriority w:val="0"/>
    <w:qFormat/>
  </w:style>
  <w:style w:type="character" w:styleId="1084" w:customStyle="1">
    <w:name w:val="HTML 打字机1"/>
    <w:link w:val="772"/>
    <w:uiPriority w:val="0"/>
    <w:qFormat/>
    <w:rPr>
      <w:rFonts w:ascii="宋体" w:hAnsi="宋体" w:eastAsia="宋体" w:cs="宋体"/>
      <w:sz w:val="24"/>
      <w:szCs w:val="24"/>
    </w:rPr>
  </w:style>
  <w:style w:type="character" w:styleId="1085" w:customStyle="1">
    <w:name w:val="超链接1"/>
    <w:link w:val="772"/>
    <w:uiPriority w:val="0"/>
    <w:qFormat/>
    <w:rPr>
      <w:color w:val="0000ff"/>
      <w:u w:val="single"/>
    </w:rPr>
  </w:style>
  <w:style w:type="character" w:styleId="1086" w:customStyle="1">
    <w:name w:val="批注引用1"/>
    <w:link w:val="772"/>
    <w:uiPriority w:val="0"/>
    <w:qFormat/>
    <w:rPr>
      <w:sz w:val="21"/>
    </w:rPr>
  </w:style>
  <w:style w:type="character" w:styleId="1087" w:customStyle="1">
    <w:name w:val="脚注引用1"/>
    <w:link w:val="772"/>
    <w:uiPriority w:val="0"/>
    <w:qFormat/>
    <w:rPr>
      <w:vertAlign w:val="superscript"/>
    </w:rPr>
  </w:style>
  <w:style w:type="character" w:styleId="1088" w:customStyle="1">
    <w:name w:val="HTML 样本1"/>
    <w:link w:val="772"/>
    <w:uiPriority w:val="0"/>
    <w:qFormat/>
    <w:rPr>
      <w:rFonts w:ascii="Courier New" w:hAnsi="宋体" w:eastAsia="宋体" w:cs="Courier New"/>
    </w:rPr>
  </w:style>
  <w:style w:type="character" w:styleId="1089" w:customStyle="1">
    <w:name w:val="style131"/>
    <w:link w:val="772"/>
    <w:uiPriority w:val="0"/>
    <w:qFormat/>
    <w:rPr>
      <w:rFonts w:cs="Times New Roman"/>
      <w:sz w:val="18"/>
      <w:szCs w:val="18"/>
    </w:rPr>
  </w:style>
  <w:style w:type="character" w:styleId="1090" w:customStyle="1">
    <w:name w:val="param-value"/>
    <w:link w:val="772"/>
    <w:uiPriority w:val="0"/>
    <w:qFormat/>
  </w:style>
  <w:style w:type="character" w:styleId="1091" w:customStyle="1">
    <w:name w:val="标题 Char1"/>
    <w:link w:val="772"/>
    <w:uiPriority w:val="0"/>
    <w:qFormat/>
    <w:rPr>
      <w:rFonts w:ascii="Cambria" w:eastAsia="宋体" w:cs="Times New Roman"/>
      <w:b/>
      <w:bCs/>
      <w:sz w:val="32"/>
      <w:szCs w:val="32"/>
    </w:rPr>
  </w:style>
  <w:style w:type="character" w:styleId="1092" w:customStyle="1">
    <w:name w:val="纯文本 Char1"/>
    <w:link w:val="772"/>
    <w:uiPriority w:val="0"/>
    <w:qFormat/>
    <w:rPr>
      <w:rFonts w:ascii="宋体" w:hAnsi="Courier New" w:cs="Courier New"/>
      <w:sz w:val="21"/>
      <w:szCs w:val="21"/>
    </w:rPr>
  </w:style>
  <w:style w:type="character" w:styleId="1093" w:customStyle="1">
    <w:name w:val="无间隔 字符"/>
    <w:link w:val="1094"/>
    <w:uiPriority w:val="0"/>
    <w:qFormat/>
    <w:rPr>
      <w:rFonts w:ascii="Calibri" w:hAnsi="Calibri" w:eastAsia="微软雅黑"/>
      <w:sz w:val="24"/>
      <w:szCs w:val="22"/>
      <w:lang w:val="en-US" w:eastAsia="zh-CN" w:bidi="ar-SA"/>
    </w:rPr>
  </w:style>
  <w:style w:type="paragraph" w:styleId="1094" w:customStyle="1">
    <w:name w:val="无间隔"/>
    <w:link w:val="1093"/>
    <w:uiPriority w:val="0"/>
    <w:qFormat/>
    <w:pPr>
      <w:jc w:val="both"/>
      <w:widowControl w:val="off"/>
    </w:pPr>
    <w:rPr>
      <w:rFonts w:hint="default" w:ascii="Calibri" w:hAnsi="Calibri" w:eastAsia="微软雅黑" w:cs="Times New Roman"/>
      <w:sz w:val="24"/>
      <w:szCs w:val="22"/>
      <w:lang w:val="en-US" w:eastAsia="zh-CN" w:bidi="ar-SA"/>
    </w:rPr>
  </w:style>
  <w:style w:type="character" w:styleId="1095" w:customStyle="1">
    <w:name w:val="title_emph1"/>
    <w:link w:val="772"/>
    <w:uiPriority w:val="0"/>
    <w:qFormat/>
    <w:rPr>
      <w:rFonts w:ascii="Arial" w:cs="Arial"/>
      <w:b/>
      <w:bCs/>
      <w:sz w:val="18"/>
      <w:szCs w:val="18"/>
    </w:rPr>
  </w:style>
  <w:style w:type="character" w:styleId="1096" w:customStyle="1">
    <w:name w:val=" Char Char26"/>
    <w:link w:val="772"/>
    <w:uiPriority w:val="0"/>
    <w:qFormat/>
    <w:rPr>
      <w:b/>
      <w:bCs/>
      <w:sz w:val="32"/>
      <w:szCs w:val="32"/>
    </w:rPr>
  </w:style>
  <w:style w:type="character" w:styleId="1097" w:customStyle="1">
    <w:name w:val="华宇段落1 Char Char"/>
    <w:link w:val="772"/>
    <w:uiPriority w:val="0"/>
    <w:qFormat/>
    <w:rPr>
      <w:rFonts w:eastAsia="宋体"/>
      <w:bCs/>
      <w:sz w:val="24"/>
      <w:szCs w:val="24"/>
      <w:lang w:val="en-US" w:eastAsia="zh-CN" w:bidi="ar-SA"/>
    </w:rPr>
  </w:style>
  <w:style w:type="character" w:styleId="1098" w:customStyle="1">
    <w:name w:val="中等深浅网格 2 - 强调文字颜色 61"/>
    <w:link w:val="772"/>
    <w:uiPriority w:val="0"/>
    <w:qFormat/>
    <w:rPr>
      <w:smallCaps/>
      <w:spacing w:val="5"/>
      <w:u w:val="single"/>
    </w:rPr>
  </w:style>
  <w:style w:type="character" w:styleId="1099" w:customStyle="1">
    <w:name w:val="A2"/>
    <w:link w:val="772"/>
    <w:uiPriority w:val="0"/>
    <w:qFormat/>
    <w:rPr>
      <w:rFonts w:cs="Helvetica"/>
      <w:color w:val="000000"/>
      <w:sz w:val="18"/>
      <w:szCs w:val="18"/>
    </w:rPr>
  </w:style>
  <w:style w:type="character" w:styleId="1100" w:customStyle="1">
    <w:name w:val="纯文本 Char Char Char1"/>
    <w:link w:val="772"/>
    <w:uiPriority w:val="0"/>
    <w:qFormat/>
    <w:rPr>
      <w:rFonts w:ascii="宋体" w:hAnsi="Courier New" w:eastAsia="宋体"/>
      <w:sz w:val="21"/>
      <w:szCs w:val="21"/>
      <w:lang w:val="en-US" w:eastAsia="zh-CN" w:bidi="ar-SA"/>
    </w:rPr>
  </w:style>
  <w:style w:type="character" w:styleId="1101" w:customStyle="1">
    <w:name w:val="样式 首行缩进:  2 字符 Char"/>
    <w:link w:val="772"/>
    <w:uiPriority w:val="0"/>
    <w:qFormat/>
    <w:rPr>
      <w:rFonts w:eastAsia="宋体" w:cs="宋体"/>
      <w:sz w:val="24"/>
      <w:lang w:val="en-US" w:eastAsia="zh-CN" w:bidi="ar-SA"/>
    </w:rPr>
  </w:style>
  <w:style w:type="character" w:styleId="1102" w:customStyle="1">
    <w:name w:val="纯文本 Char Char Char"/>
    <w:link w:val="772"/>
    <w:uiPriority w:val="0"/>
    <w:qFormat/>
    <w:rPr>
      <w:rFonts w:ascii="宋体" w:hAnsi="Courier New" w:eastAsia="宋体"/>
      <w:sz w:val="21"/>
      <w:szCs w:val="21"/>
      <w:lang w:val="en-US" w:eastAsia="zh-CN" w:bidi="ar-SA"/>
    </w:rPr>
  </w:style>
  <w:style w:type="character" w:styleId="1103" w:customStyle="1">
    <w:name w:val="小四 段落 宋体 Char1"/>
    <w:link w:val="772"/>
    <w:uiPriority w:val="0"/>
    <w:qFormat/>
    <w:rPr>
      <w:rFonts w:eastAsia="宋体"/>
      <w:sz w:val="24"/>
      <w:szCs w:val="24"/>
      <w:lang w:val="en-US" w:eastAsia="zh-CN" w:bidi="ar-SA"/>
    </w:rPr>
  </w:style>
  <w:style w:type="character" w:styleId="1104" w:customStyle="1">
    <w:name w:val="3zw"/>
    <w:link w:val="772"/>
    <w:uiPriority w:val="0"/>
    <w:qFormat/>
  </w:style>
  <w:style w:type="character" w:styleId="1105" w:customStyle="1">
    <w:name w:val="普通文字1 Char"/>
    <w:link w:val="772"/>
    <w:uiPriority w:val="0"/>
    <w:qFormat/>
    <w:rPr>
      <w:rFonts w:ascii="宋体" w:eastAsia="宋体"/>
      <w:sz w:val="21"/>
      <w:szCs w:val="21"/>
      <w:lang w:val="en-US" w:eastAsia="zh-CN" w:bidi="ar-SA"/>
    </w:rPr>
  </w:style>
  <w:style w:type="character" w:styleId="1106" w:customStyle="1">
    <w:name w:val="subtitle1"/>
    <w:link w:val="772"/>
    <w:uiPriority w:val="0"/>
    <w:qFormat/>
    <w:rPr>
      <w:rFonts w:ascii="Georgia" w:hAnsi="Georgia"/>
      <w:b/>
      <w:bCs/>
      <w:color w:val="666666"/>
      <w:sz w:val="18"/>
      <w:szCs w:val="18"/>
    </w:rPr>
  </w:style>
  <w:style w:type="character" w:styleId="1107" w:customStyle="1">
    <w:name w:val="标准文本 Char Char"/>
    <w:link w:val="772"/>
    <w:uiPriority w:val="0"/>
    <w:qFormat/>
    <w:rPr>
      <w:rFonts w:eastAsia="宋体" w:cs="宋体"/>
      <w:sz w:val="24"/>
      <w:szCs w:val="24"/>
      <w:lang w:val="en-US" w:eastAsia="zh-CN" w:bidi="ar-SA"/>
    </w:rPr>
  </w:style>
  <w:style w:type="character" w:styleId="1108" w:customStyle="1">
    <w:name w:val="中等深浅列表 2 - 强调文字颜色 61"/>
    <w:link w:val="772"/>
    <w:uiPriority w:val="0"/>
    <w:qFormat/>
    <w:rPr>
      <w:b/>
      <w:bCs/>
    </w:rPr>
  </w:style>
  <w:style w:type="character" w:styleId="1109" w:customStyle="1">
    <w:name w:val="case31"/>
    <w:link w:val="772"/>
    <w:uiPriority w:val="0"/>
    <w:qFormat/>
    <w:rPr>
      <w:sz w:val="21"/>
      <w:szCs w:val="21"/>
    </w:rPr>
  </w:style>
  <w:style w:type="character" w:styleId="1110" w:customStyle="1">
    <w:name w:val=" Char Char2"/>
    <w:link w:val="772"/>
    <w:uiPriority w:val="0"/>
    <w:qFormat/>
    <w:rPr>
      <w:rFonts w:ascii="宋体" w:hAnsi="Courier New" w:eastAsia="宋体"/>
      <w:sz w:val="21"/>
      <w:szCs w:val="21"/>
      <w:lang w:val="en-US" w:eastAsia="zh-CN" w:bidi="ar-SA"/>
    </w:rPr>
  </w:style>
  <w:style w:type="character" w:styleId="1111" w:customStyle="1">
    <w:name w:val="ih151"/>
    <w:link w:val="772"/>
    <w:uiPriority w:val="0"/>
    <w:qFormat/>
    <w:rPr>
      <w:color w:val="666666"/>
      <w:sz w:val="18"/>
      <w:szCs w:val="18"/>
      <w:u w:val="none"/>
    </w:rPr>
  </w:style>
  <w:style w:type="character" w:styleId="1112" w:customStyle="1">
    <w:name w:val="content"/>
    <w:link w:val="772"/>
    <w:uiPriority w:val="0"/>
    <w:qFormat/>
  </w:style>
  <w:style w:type="character" w:styleId="1113" w:customStyle="1">
    <w:name w:val="小四 段落 宋体 Char Char Char Char Char Char"/>
    <w:link w:val="772"/>
    <w:uiPriority w:val="0"/>
    <w:qFormat/>
    <w:rPr>
      <w:rFonts w:eastAsia="宋体"/>
      <w:sz w:val="24"/>
      <w:szCs w:val="24"/>
      <w:lang w:val="en-US" w:eastAsia="zh-CN" w:bidi="ar-SA"/>
    </w:rPr>
  </w:style>
  <w:style w:type="character" w:styleId="1114" w:customStyle="1">
    <w:name w:val="111111 Char"/>
    <w:link w:val="1115"/>
    <w:uiPriority w:val="0"/>
    <w:qFormat/>
    <w:rPr>
      <w:rFonts w:ascii="宋体" w:hAnsi="宋体" w:eastAsia="黑体" w:cs="宋体"/>
      <w:b/>
      <w:bCs/>
      <w:sz w:val="21"/>
      <w:szCs w:val="21"/>
      <w:lang w:val="en-US" w:eastAsia="zh-CN" w:bidi="ar-SA"/>
    </w:rPr>
  </w:style>
  <w:style w:type="paragraph" w:styleId="1115" w:customStyle="1">
    <w:name w:val="111111"/>
    <w:basedOn w:val="772"/>
    <w:link w:val="1114"/>
    <w:uiPriority w:val="0"/>
    <w:qFormat/>
    <w:pPr>
      <w:jc w:val="center"/>
      <w:spacing w:before="120" w:after="120"/>
    </w:pPr>
    <w:rPr>
      <w:rFonts w:ascii="宋体" w:hAnsi="宋体" w:eastAsia="黑体"/>
      <w:b/>
      <w:bCs/>
      <w:sz w:val="21"/>
      <w:szCs w:val="21"/>
      <w:lang w:val="en-US"/>
    </w:rPr>
  </w:style>
  <w:style w:type="character" w:styleId="1116" w:customStyle="1">
    <w:name w:val="normalfont1"/>
    <w:link w:val="772"/>
    <w:uiPriority w:val="0"/>
    <w:qFormat/>
    <w:rPr>
      <w:rFonts w:ascii="ˎ̥" w:hAnsi="ˎ̥"/>
      <w:sz w:val="18"/>
      <w:szCs w:val="18"/>
      <w:u w:val="none"/>
    </w:rPr>
  </w:style>
  <w:style w:type="character" w:styleId="1117" w:customStyle="1">
    <w:name w:val=" Char Char17"/>
    <w:link w:val="772"/>
    <w:uiPriority w:val="0"/>
    <w:qFormat/>
    <w:rPr>
      <w:rFonts w:ascii="宋体" w:hAnsi="Courier New"/>
      <w:sz w:val="21"/>
      <w:szCs w:val="21"/>
    </w:rPr>
  </w:style>
  <w:style w:type="character" w:styleId="1118" w:customStyle="1">
    <w:name w:val=" Char Char20"/>
    <w:link w:val="772"/>
    <w:uiPriority w:val="0"/>
    <w:qFormat/>
    <w:rPr>
      <w:rFonts w:ascii="Arial" w:hAnsi="Arial" w:eastAsia="黑体"/>
      <w:sz w:val="21"/>
      <w:szCs w:val="21"/>
    </w:rPr>
  </w:style>
  <w:style w:type="character" w:styleId="1119" w:customStyle="1">
    <w:name w:val="point_normal1"/>
    <w:link w:val="772"/>
    <w:uiPriority w:val="0"/>
    <w:qFormat/>
    <w:rPr>
      <w:rFonts w:ascii="Arial" w:hAnsi="Arial" w:cs="Arial"/>
      <w:sz w:val="18"/>
      <w:szCs w:val="18"/>
    </w:rPr>
  </w:style>
  <w:style w:type="character" w:styleId="1120" w:customStyle="1">
    <w:name w:val="2nd level Char"/>
    <w:link w:val="772"/>
    <w:uiPriority w:val="0"/>
    <w:qFormat/>
    <w:rPr>
      <w:rFonts w:ascii="Arial" w:hAnsi="Arial" w:eastAsia="黑体"/>
      <w:b/>
      <w:bCs/>
      <w:sz w:val="32"/>
      <w:szCs w:val="32"/>
      <w:lang w:val="en-US" w:eastAsia="zh-CN" w:bidi="ar-SA"/>
    </w:rPr>
  </w:style>
  <w:style w:type="character" w:styleId="1121" w:customStyle="1">
    <w:name w:val="h Char Char"/>
    <w:link w:val="772"/>
    <w:uiPriority w:val="0"/>
    <w:qFormat/>
    <w:rPr>
      <w:rFonts w:eastAsia="宋体"/>
      <w:sz w:val="18"/>
      <w:szCs w:val="18"/>
      <w:lang w:val="en-US" w:eastAsia="zh-CN" w:bidi="ar-SA"/>
    </w:rPr>
  </w:style>
  <w:style w:type="character" w:styleId="1122" w:customStyle="1">
    <w:name w:val=" Char Char22"/>
    <w:link w:val="772"/>
    <w:uiPriority w:val="0"/>
    <w:qFormat/>
    <w:rPr>
      <w:b/>
      <w:bCs/>
      <w:sz w:val="24"/>
      <w:szCs w:val="24"/>
    </w:rPr>
  </w:style>
  <w:style w:type="character" w:styleId="1123" w:customStyle="1">
    <w:name w:val="标题 3 Char"/>
    <w:link w:val="772"/>
    <w:uiPriority w:val="0"/>
    <w:qFormat/>
    <w:rPr>
      <w:rFonts w:ascii="宋体" w:hAnsi="宋体" w:eastAsia="宋体"/>
      <w:b/>
      <w:bCs/>
      <w:sz w:val="24"/>
      <w:szCs w:val="32"/>
      <w:lang w:val="en-US" w:eastAsia="zh-CN" w:bidi="ar-SA"/>
    </w:rPr>
  </w:style>
  <w:style w:type="character" w:styleId="1124" w:customStyle="1">
    <w:name w:val="样式 宋体 小四"/>
    <w:link w:val="772"/>
    <w:uiPriority w:val="0"/>
    <w:qFormat/>
    <w:rPr>
      <w:rFonts w:ascii="宋体" w:hAnsi="宋体"/>
      <w:sz w:val="24"/>
    </w:rPr>
  </w:style>
  <w:style w:type="character" w:styleId="1125" w:customStyle="1">
    <w:name w:val=" Char Char28"/>
    <w:link w:val="772"/>
    <w:uiPriority w:val="0"/>
    <w:qFormat/>
    <w:rPr>
      <w:rFonts w:ascii="Arial" w:hAnsi="Arial" w:eastAsia="黑体" w:cs="Arial"/>
      <w:b/>
      <w:bCs/>
      <w:sz w:val="32"/>
      <w:szCs w:val="32"/>
    </w:rPr>
  </w:style>
  <w:style w:type="character" w:styleId="1126" w:customStyle="1">
    <w:name w:val=" Char Char21"/>
    <w:link w:val="772"/>
    <w:uiPriority w:val="0"/>
    <w:qFormat/>
    <w:rPr>
      <w:rFonts w:ascii="Arial" w:hAnsi="Arial" w:eastAsia="黑体"/>
      <w:sz w:val="24"/>
      <w:szCs w:val="24"/>
    </w:rPr>
  </w:style>
  <w:style w:type="character" w:styleId="1127" w:customStyle="1">
    <w:name w:val="小四 段落 宋体 Char Char Char1"/>
    <w:link w:val="772"/>
    <w:uiPriority w:val="0"/>
    <w:qFormat/>
    <w:rPr>
      <w:rFonts w:ascii="宋体" w:hAnsi="宋体" w:eastAsia="宋体"/>
      <w:sz w:val="24"/>
      <w:szCs w:val="24"/>
      <w:lang w:val="en-US" w:eastAsia="zh-CN" w:bidi="ar-SA"/>
    </w:rPr>
  </w:style>
  <w:style w:type="character" w:styleId="1128" w:customStyle="1">
    <w:name w:val="content_lineheight1"/>
    <w:link w:val="772"/>
    <w:uiPriority w:val="0"/>
    <w:qFormat/>
  </w:style>
  <w:style w:type="character" w:styleId="1129" w:customStyle="1">
    <w:name w:val="华宇段落1 Char Char Char"/>
    <w:link w:val="772"/>
    <w:uiPriority w:val="0"/>
    <w:qFormat/>
    <w:rPr>
      <w:rFonts w:eastAsia="宋体"/>
      <w:bCs/>
      <w:sz w:val="24"/>
      <w:szCs w:val="24"/>
      <w:lang w:val="en-US" w:eastAsia="zh-CN" w:bidi="ar-SA"/>
    </w:rPr>
  </w:style>
  <w:style w:type="character" w:styleId="1130" w:customStyle="1">
    <w:name w:val="style13"/>
    <w:link w:val="772"/>
    <w:uiPriority w:val="0"/>
    <w:qFormat/>
    <w:rPr>
      <w:sz w:val="18"/>
      <w:szCs w:val="18"/>
    </w:rPr>
  </w:style>
  <w:style w:type="character" w:styleId="1131" w:customStyle="1">
    <w:name w:val="样式 首行缩进:  2 字符 Char Char"/>
    <w:link w:val="1132"/>
    <w:uiPriority w:val="0"/>
    <w:qFormat/>
    <w:rPr>
      <w:rFonts w:eastAsia="宋体" w:cs="宋体"/>
      <w:sz w:val="24"/>
      <w:lang w:val="en-US" w:eastAsia="zh-CN" w:bidi="ar-SA"/>
    </w:rPr>
  </w:style>
  <w:style w:type="paragraph" w:styleId="1132" w:customStyle="1">
    <w:name w:val="样式 首行缩进:  2 字符"/>
    <w:basedOn w:val="772"/>
    <w:link w:val="1131"/>
    <w:uiPriority w:val="0"/>
    <w:qFormat/>
    <w:pPr>
      <w:ind w:firstLine="480"/>
      <w:spacing w:line="360" w:lineRule="auto"/>
    </w:pPr>
    <w:rPr>
      <w:rFonts w:ascii="Times New Roman" w:hAnsi="Times New Roman" w:eastAsia="宋体"/>
      <w:sz w:val="24"/>
      <w:lang w:val="en-US"/>
    </w:rPr>
  </w:style>
  <w:style w:type="character" w:styleId="1133" w:customStyle="1">
    <w:name w:val=" Char Char25"/>
    <w:link w:val="772"/>
    <w:uiPriority w:val="0"/>
    <w:qFormat/>
    <w:rPr>
      <w:rFonts w:ascii="Arial" w:hAnsi="Arial" w:eastAsia="黑体"/>
      <w:b/>
      <w:sz w:val="28"/>
    </w:rPr>
  </w:style>
  <w:style w:type="character" w:styleId="1134" w:customStyle="1">
    <w:name w:val="apple-converted-space"/>
    <w:link w:val="772"/>
    <w:uiPriority w:val="0"/>
    <w:qFormat/>
  </w:style>
  <w:style w:type="character" w:styleId="1135" w:customStyle="1">
    <w:name w:val="已访问的超链接1"/>
    <w:link w:val="772"/>
    <w:uiPriority w:val="0"/>
    <w:qFormat/>
    <w:rPr>
      <w:color w:val="000000"/>
      <w:u w:val="none"/>
    </w:rPr>
  </w:style>
  <w:style w:type="character" w:styleId="1136" w:customStyle="1">
    <w:name w:val="para_small"/>
    <w:link w:val="772"/>
    <w:uiPriority w:val="0"/>
    <w:qFormat/>
  </w:style>
  <w:style w:type="character" w:styleId="113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72"/>
    <w:uiPriority w:val="0"/>
    <w:qFormat/>
    <w:rPr>
      <w:rFonts w:eastAsia="宋体"/>
      <w:b/>
      <w:bCs/>
      <w:sz w:val="32"/>
      <w:szCs w:val="32"/>
      <w:lang w:val="en-US" w:eastAsia="zh-CN" w:bidi="ar-SA"/>
    </w:rPr>
  </w:style>
  <w:style w:type="character" w:styleId="1138" w:customStyle="1">
    <w:name w:val="标准小四 Char Char"/>
    <w:link w:val="772"/>
    <w:uiPriority w:val="0"/>
    <w:qFormat/>
    <w:rPr>
      <w:rFonts w:ascii="Arial" w:hAnsi="Arial" w:eastAsia="宋体"/>
      <w:sz w:val="24"/>
      <w:szCs w:val="21"/>
      <w:lang w:val="en-US" w:eastAsia="zh-CN" w:bidi="ar-SA"/>
    </w:rPr>
  </w:style>
  <w:style w:type="character" w:styleId="1139" w:customStyle="1">
    <w:name w:val="彩色网格字符"/>
    <w:link w:val="1140"/>
    <w:uiPriority w:val="0"/>
    <w:qFormat/>
    <w:rPr>
      <w:rFonts w:ascii="Calibri" w:hAnsi="Calibri" w:eastAsia="宋体"/>
      <w:i/>
      <w:iCs/>
      <w:sz w:val="22"/>
      <w:szCs w:val="22"/>
      <w:lang w:val="en-US" w:eastAsia="en-US" w:bidi="en-US"/>
    </w:rPr>
  </w:style>
  <w:style w:type="paragraph" w:styleId="1140" w:customStyle="1">
    <w:name w:val="彩色网格1"/>
    <w:basedOn w:val="772"/>
    <w:next w:val="772"/>
    <w:link w:val="1139"/>
    <w:uiPriority w:val="0"/>
    <w:qFormat/>
    <w:pPr>
      <w:ind w:left="360" w:right="360"/>
      <w:jc w:val="left"/>
      <w:spacing w:before="200" w:line="276" w:lineRule="auto"/>
      <w:widowControl/>
    </w:pPr>
    <w:rPr>
      <w:rFonts w:eastAsia="宋体" w:cs="Times New Roman"/>
      <w:i/>
      <w:iCs/>
      <w:sz w:val="22"/>
      <w:szCs w:val="22"/>
      <w:lang w:val="en-US" w:eastAsia="en-US" w:bidi="en-US"/>
    </w:rPr>
  </w:style>
  <w:style w:type="character" w:styleId="1141" w:customStyle="1">
    <w:name w:val="listbenefit"/>
    <w:link w:val="772"/>
    <w:uiPriority w:val="0"/>
    <w:qFormat/>
  </w:style>
  <w:style w:type="character" w:styleId="1142" w:customStyle="1">
    <w:name w:val="小四 段落 宋体 Char Char Char Char Char Char Char Char"/>
    <w:link w:val="772"/>
    <w:uiPriority w:val="0"/>
    <w:qFormat/>
    <w:rPr>
      <w:rFonts w:eastAsia="宋体"/>
      <w:sz w:val="24"/>
      <w:szCs w:val="24"/>
      <w:lang w:val="en-US" w:eastAsia="zh-CN" w:bidi="ar-SA"/>
    </w:rPr>
  </w:style>
  <w:style w:type="character" w:styleId="1143" w:customStyle="1">
    <w:name w:val="标题 3 Char Char"/>
    <w:link w:val="772"/>
    <w:uiPriority w:val="0"/>
    <w:qFormat/>
    <w:rPr>
      <w:rFonts w:eastAsia="仿宋_GB2312"/>
      <w:b/>
      <w:bCs/>
      <w:sz w:val="28"/>
      <w:szCs w:val="32"/>
      <w:lang w:val="en-US" w:eastAsia="zh-CN" w:bidi="ar-SA"/>
    </w:rPr>
  </w:style>
  <w:style w:type="character" w:styleId="1144" w:customStyle="1">
    <w:name w:val="中等深浅网格 3 - 强调文字颜色 61"/>
    <w:link w:val="772"/>
    <w:uiPriority w:val="0"/>
    <w:qFormat/>
    <w:rPr>
      <w:i/>
      <w:iCs/>
      <w:smallCaps/>
      <w:spacing w:val="5"/>
    </w:rPr>
  </w:style>
  <w:style w:type="character" w:styleId="1145" w:customStyle="1">
    <w:name w:val="标准小四 Char"/>
    <w:link w:val="772"/>
    <w:uiPriority w:val="0"/>
    <w:qFormat/>
    <w:rPr>
      <w:rFonts w:ascii="Arial" w:hAnsi="Arial" w:eastAsia="宋体"/>
      <w:sz w:val="24"/>
      <w:szCs w:val="21"/>
      <w:lang w:val="en-US" w:eastAsia="zh-CN" w:bidi="ar-SA"/>
    </w:rPr>
  </w:style>
  <w:style w:type="character" w:styleId="1146" w:customStyle="1">
    <w:name w:val="concon"/>
    <w:link w:val="772"/>
    <w:uiPriority w:val="0"/>
    <w:qFormat/>
  </w:style>
  <w:style w:type="character" w:styleId="1147" w:customStyle="1">
    <w:name w:val="小四 段落 宋体 Char Char Char Char1"/>
    <w:link w:val="772"/>
    <w:uiPriority w:val="0"/>
    <w:qFormat/>
    <w:rPr>
      <w:rFonts w:eastAsia="宋体"/>
      <w:sz w:val="24"/>
      <w:szCs w:val="24"/>
      <w:lang w:val="en-US" w:eastAsia="zh-CN" w:bidi="ar-SA"/>
    </w:rPr>
  </w:style>
  <w:style w:type="character" w:styleId="1148" w:customStyle="1">
    <w:name w:val=" Char Char24"/>
    <w:link w:val="772"/>
    <w:uiPriority w:val="0"/>
    <w:qFormat/>
    <w:rPr>
      <w:b/>
      <w:bCs/>
      <w:sz w:val="28"/>
      <w:szCs w:val="28"/>
    </w:rPr>
  </w:style>
  <w:style w:type="character" w:styleId="1149" w:customStyle="1">
    <w:name w:val="标准文本 Char"/>
    <w:link w:val="772"/>
    <w:uiPriority w:val="0"/>
    <w:qFormat/>
    <w:rPr>
      <w:rFonts w:eastAsia="宋体" w:cs="宋体"/>
      <w:sz w:val="24"/>
      <w:szCs w:val="24"/>
      <w:lang w:val="en-US" w:eastAsia="zh-CN" w:bidi="ar-SA"/>
    </w:rPr>
  </w:style>
  <w:style w:type="character" w:styleId="1150" w:customStyle="1">
    <w:name w:val="中等深浅网格 1 - 强调文字颜色 61"/>
    <w:link w:val="772"/>
    <w:uiPriority w:val="0"/>
    <w:qFormat/>
    <w:rPr>
      <w:smallCaps/>
    </w:rPr>
  </w:style>
  <w:style w:type="character" w:styleId="1151" w:customStyle="1">
    <w:name w:val="纯文本 Char Char"/>
    <w:link w:val="772"/>
    <w:uiPriority w:val="0"/>
    <w:qFormat/>
    <w:rPr>
      <w:rFonts w:ascii="宋体" w:hAnsi="Courier New" w:eastAsia="宋体"/>
      <w:sz w:val="21"/>
      <w:szCs w:val="21"/>
      <w:lang w:val="en-US" w:eastAsia="zh-CN" w:bidi="ar-SA"/>
    </w:rPr>
  </w:style>
  <w:style w:type="character" w:styleId="1152" w:customStyle="1">
    <w:name w:val="特点 Char1"/>
    <w:link w:val="772"/>
    <w:uiPriority w:val="0"/>
    <w:qFormat/>
    <w:rPr>
      <w:rFonts w:eastAsia="宋体"/>
      <w:sz w:val="21"/>
      <w:lang w:val="en-US" w:eastAsia="zh-CN" w:bidi="ar-SA"/>
    </w:rPr>
  </w:style>
  <w:style w:type="character" w:styleId="1153" w:customStyle="1">
    <w:name w:val="Title1 Char"/>
    <w:link w:val="772"/>
    <w:uiPriority w:val="0"/>
    <w:qFormat/>
    <w:rPr>
      <w:rFonts w:eastAsia="宋体"/>
      <w:b/>
      <w:bCs/>
      <w:sz w:val="44"/>
      <w:szCs w:val="44"/>
      <w:lang w:val="en-US" w:eastAsia="zh-CN" w:bidi="ar-SA"/>
    </w:rPr>
  </w:style>
  <w:style w:type="character" w:styleId="1154" w:customStyle="1">
    <w:name w:val="中等深浅列表 1 - 强调文字颜色 61"/>
    <w:link w:val="772"/>
    <w:uiPriority w:val="0"/>
    <w:qFormat/>
    <w:rPr>
      <w:i/>
      <w:iCs/>
    </w:rPr>
  </w:style>
  <w:style w:type="character" w:styleId="1155" w:customStyle="1">
    <w:name w:val=" Char Char23"/>
    <w:link w:val="772"/>
    <w:uiPriority w:val="0"/>
    <w:qFormat/>
    <w:rPr>
      <w:rFonts w:ascii="Arial" w:hAnsi="Arial" w:eastAsia="黑体"/>
      <w:b/>
      <w:bCs/>
      <w:sz w:val="24"/>
      <w:szCs w:val="24"/>
    </w:rPr>
  </w:style>
  <w:style w:type="character" w:styleId="1156" w:customStyle="1">
    <w:name w:val="小四 段落 宋体 Char Char Char Char Char"/>
    <w:link w:val="772"/>
    <w:uiPriority w:val="0"/>
    <w:qFormat/>
    <w:rPr>
      <w:rFonts w:eastAsia="宋体"/>
      <w:sz w:val="24"/>
      <w:szCs w:val="24"/>
      <w:lang w:val="en-US" w:eastAsia="zh-CN" w:bidi="ar-SA"/>
    </w:rPr>
  </w:style>
  <w:style w:type="character" w:styleId="1157" w:customStyle="1">
    <w:name w:val="表格抬头 Char"/>
    <w:link w:val="1158"/>
    <w:uiPriority w:val="0"/>
    <w:qFormat/>
    <w:rPr>
      <w:rFonts w:ascii="黑体" w:eastAsia="黑体"/>
      <w:b/>
      <w:sz w:val="21"/>
      <w:lang w:bidi="ar-SA"/>
    </w:rPr>
  </w:style>
  <w:style w:type="paragraph" w:styleId="1158" w:customStyle="1">
    <w:name w:val="表格抬头"/>
    <w:basedOn w:val="772"/>
    <w:link w:val="1157"/>
    <w:uiPriority w:val="0"/>
    <w:qFormat/>
    <w:pPr>
      <w:jc w:val="center"/>
    </w:pPr>
    <w:rPr>
      <w:rFonts w:ascii="黑体" w:hAnsi="Times New Roman" w:eastAsia="黑体" w:cs="Times New Roman"/>
      <w:b/>
      <w:sz w:val="21"/>
    </w:rPr>
  </w:style>
  <w:style w:type="character" w:styleId="1159" w:customStyle="1">
    <w:name w:val="样式 非加粗"/>
    <w:link w:val="772"/>
    <w:uiPriority w:val="0"/>
    <w:qFormat/>
    <w:rPr>
      <w:rFonts w:eastAsia="宋体"/>
      <w:sz w:val="28"/>
    </w:rPr>
  </w:style>
  <w:style w:type="character" w:styleId="1160" w:customStyle="1">
    <w:name w:val="textcontents"/>
    <w:link w:val="772"/>
    <w:uiPriority w:val="0"/>
    <w:qFormat/>
  </w:style>
  <w:style w:type="character" w:styleId="1161" w:customStyle="1">
    <w:name w:val="浅色底纹 - 强调文字颜色 1字符"/>
    <w:link w:val="1162"/>
    <w:uiPriority w:val="0"/>
    <w:qFormat/>
    <w:rPr>
      <w:rFonts w:ascii="Calibri" w:hAnsi="Calibri" w:eastAsia="宋体"/>
      <w:b/>
      <w:bCs/>
      <w:i/>
      <w:iCs/>
      <w:sz w:val="22"/>
      <w:szCs w:val="22"/>
      <w:lang w:val="en-US" w:eastAsia="en-US" w:bidi="en-US"/>
    </w:rPr>
  </w:style>
  <w:style w:type="paragraph" w:styleId="1162" w:customStyle="1">
    <w:name w:val="浅色底纹 - 强调文字颜色 11"/>
    <w:basedOn w:val="772"/>
    <w:next w:val="772"/>
    <w:link w:val="1161"/>
    <w:uiPriority w:val="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163" w:customStyle="1">
    <w:name w:val="新图表正文 Char Char"/>
    <w:link w:val="1164"/>
    <w:uiPriority w:val="0"/>
    <w:qFormat/>
    <w:rPr>
      <w:rFonts w:ascii="宋体" w:hAnsi="宋体"/>
      <w:sz w:val="18"/>
      <w:szCs w:val="21"/>
      <w:lang w:val="en-US" w:eastAsia="zh-CN" w:bidi="ar-SA"/>
    </w:rPr>
  </w:style>
  <w:style w:type="paragraph" w:styleId="1164" w:customStyle="1">
    <w:name w:val="新图表正文"/>
    <w:link w:val="1163"/>
    <w:uiPriority w:val="0"/>
    <w:qFormat/>
    <w:pPr>
      <w:jc w:val="both"/>
    </w:pPr>
    <w:rPr>
      <w:rFonts w:hint="default" w:ascii="宋体" w:hAnsi="宋体" w:eastAsia="宋体" w:cs="Times New Roman"/>
      <w:sz w:val="18"/>
      <w:szCs w:val="21"/>
      <w:lang w:val="en-US" w:eastAsia="zh-CN" w:bidi="ar-SA"/>
    </w:rPr>
  </w:style>
  <w:style w:type="character" w:styleId="1165" w:customStyle="1">
    <w:name w:val=" Char Char27"/>
    <w:link w:val="772"/>
    <w:uiPriority w:val="0"/>
    <w:qFormat/>
    <w:rPr>
      <w:b/>
      <w:bCs/>
      <w:sz w:val="44"/>
      <w:szCs w:val="44"/>
    </w:rPr>
  </w:style>
  <w:style w:type="character" w:styleId="1166" w:customStyle="1">
    <w:name w:val="t1"/>
    <w:link w:val="772"/>
    <w:uiPriority w:val="0"/>
    <w:qFormat/>
  </w:style>
  <w:style w:type="character" w:styleId="1167" w:customStyle="1">
    <w:name w:val="正文 + 宋体 Char"/>
    <w:link w:val="772"/>
    <w:uiPriority w:val="0"/>
    <w:qFormat/>
    <w:rPr>
      <w:rFonts w:eastAsia="宋体"/>
      <w:sz w:val="21"/>
      <w:szCs w:val="24"/>
      <w:lang w:val="en-US" w:eastAsia="zh-CN" w:bidi="ar-SA"/>
    </w:rPr>
  </w:style>
  <w:style w:type="character" w:styleId="1168" w:customStyle="1">
    <w:name w:val=" Char Char29"/>
    <w:link w:val="772"/>
    <w:uiPriority w:val="0"/>
    <w:qFormat/>
    <w:rPr>
      <w:rFonts w:ascii="Times New Roman" w:hAnsi="Times New Roman" w:eastAsia="宋体" w:cs="Times New Roman"/>
      <w:b/>
      <w:bCs/>
      <w:sz w:val="44"/>
      <w:szCs w:val="44"/>
    </w:rPr>
  </w:style>
  <w:style w:type="paragraph" w:styleId="1169" w:customStyle="1">
    <w:name w:val="xl51"/>
    <w:basedOn w:val="77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70" w:customStyle="1">
    <w:name w:val="表格内容"/>
    <w:basedOn w:val="772"/>
    <w:uiPriority w:val="0"/>
    <w:qFormat/>
    <w:pPr>
      <w:jc w:val="center"/>
      <w:spacing w:before="60" w:line="300" w:lineRule="auto"/>
      <w:widowControl/>
    </w:pPr>
  </w:style>
  <w:style w:type="paragraph" w:styleId="1171" w:customStyle="1">
    <w:name w:val="默认段落字体 Para Char"/>
    <w:basedOn w:val="772"/>
    <w:uiPriority w:val="0"/>
    <w:qFormat/>
    <w:rPr>
      <w:sz w:val="24"/>
      <w:szCs w:val="24"/>
    </w:rPr>
  </w:style>
  <w:style w:type="paragraph" w:styleId="1172" w:customStyle="1">
    <w:name w:val="默认段落字体 Para Char Char Char Char Char Char Char Char Char1 Char Char Char Char Char Char Char"/>
    <w:basedOn w:val="1026"/>
    <w:uiPriority w:val="0"/>
    <w:qFormat/>
  </w:style>
  <w:style w:type="paragraph" w:styleId="1173" w:customStyle="1">
    <w:name w:val="正文格式"/>
    <w:basedOn w:val="772"/>
    <w:uiPriority w:val="0"/>
    <w:qFormat/>
    <w:pPr>
      <w:ind w:left="178" w:right="44" w:hanging="178"/>
      <w:jc w:val="left"/>
      <w:spacing w:before="78" w:line="360" w:lineRule="auto"/>
      <w:widowControl/>
    </w:pPr>
    <w:rPr>
      <w:rFonts w:ascii="宋体" w:hAnsi="宋体"/>
      <w:bCs/>
      <w:szCs w:val="21"/>
    </w:rPr>
  </w:style>
  <w:style w:type="paragraph" w:styleId="1174" w:customStyle="1">
    <w:name w:val="小四 段落 宋体 Char Char"/>
    <w:basedOn w:val="772"/>
    <w:uiPriority w:val="0"/>
    <w:qFormat/>
    <w:pPr>
      <w:ind w:firstLine="480"/>
      <w:spacing w:line="360" w:lineRule="auto"/>
    </w:pPr>
    <w:rPr>
      <w:rFonts w:ascii="宋体" w:hAnsi="宋体"/>
      <w:sz w:val="24"/>
      <w:szCs w:val="24"/>
    </w:rPr>
  </w:style>
  <w:style w:type="paragraph" w:styleId="1175" w:customStyle="1">
    <w:name w:val="xl42"/>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6" w:customStyle="1">
    <w:name w:val="p0"/>
    <w:basedOn w:val="772"/>
    <w:uiPriority w:val="0"/>
    <w:qFormat/>
    <w:pPr>
      <w:jc w:val="left"/>
      <w:spacing w:before="100" w:beforeAutospacing="1" w:after="100" w:afterAutospacing="1"/>
      <w:widowControl/>
    </w:pPr>
    <w:rPr>
      <w:rFonts w:ascii="宋体" w:hAnsi="宋体" w:cs="宋体"/>
      <w:sz w:val="24"/>
      <w:szCs w:val="24"/>
    </w:rPr>
  </w:style>
  <w:style w:type="paragraph" w:styleId="1177" w:customStyle="1">
    <w:name w:val="公文标题 2"/>
    <w:basedOn w:val="772"/>
    <w:next w:val="1178"/>
    <w:uiPriority w:val="0"/>
    <w:qFormat/>
    <w:pPr>
      <w:outlineLvl w:val="1"/>
    </w:pPr>
    <w:rPr>
      <w:rFonts w:ascii="仿宋_GB2312" w:hAnsi="宋体" w:eastAsia="仿宋_GB2312"/>
      <w:sz w:val="28"/>
      <w:szCs w:val="24"/>
    </w:rPr>
  </w:style>
  <w:style w:type="paragraph" w:styleId="1178" w:customStyle="1">
    <w:name w:val="公文正文"/>
    <w:basedOn w:val="1034"/>
    <w:uiPriority w:val="0"/>
    <w:qFormat/>
    <w:pPr>
      <w:ind w:firstLine="200"/>
    </w:pPr>
    <w:rPr>
      <w:rFonts w:ascii="仿宋_GB2312" w:hAnsi="宋体" w:eastAsia="仿宋_GB2312"/>
      <w:sz w:val="28"/>
      <w:szCs w:val="24"/>
    </w:rPr>
  </w:style>
  <w:style w:type="paragraph" w:styleId="1179" w:customStyle="1">
    <w:name w:val="font7"/>
    <w:basedOn w:val="772"/>
    <w:uiPriority w:val="0"/>
    <w:qFormat/>
    <w:pPr>
      <w:jc w:val="left"/>
      <w:spacing w:before="100" w:beforeAutospacing="1" w:after="100" w:afterAutospacing="1"/>
      <w:widowControl/>
    </w:pPr>
    <w:rPr>
      <w:rFonts w:hint="eastAsia" w:ascii="宋体" w:hAnsi="宋体"/>
      <w:b/>
      <w:bCs/>
      <w:sz w:val="24"/>
      <w:szCs w:val="24"/>
    </w:rPr>
  </w:style>
  <w:style w:type="paragraph" w:styleId="1180" w:customStyle="1">
    <w:name w:val="Char Char Char Char Char Char Char Char Char Char Char1 Char Char Char1"/>
    <w:basedOn w:val="772"/>
    <w:uiPriority w:val="0"/>
    <w:semiHidden/>
    <w:qFormat/>
    <w:pPr>
      <w:ind w:firstLine="200"/>
      <w:jc w:val="left"/>
    </w:pPr>
    <w:rPr>
      <w:rFonts w:ascii="Tahoma" w:hAnsi="Tahoma"/>
      <w:sz w:val="24"/>
      <w:szCs w:val="24"/>
    </w:rPr>
  </w:style>
  <w:style w:type="paragraph" w:styleId="1181" w:customStyle="1">
    <w:name w:val="xl30"/>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82" w:customStyle="1">
    <w:name w:val="xl41"/>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3" w:customStyle="1">
    <w:name w:val="xl62"/>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8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85" w:customStyle="1">
    <w:name w:val="样式 标题 3H3sect1.2.3BOD 0Heading 3 - oldh3l3CTLevel 3 Head..."/>
    <w:basedOn w:val="1004"/>
    <w:uiPriority w:val="0"/>
    <w:qFormat/>
    <w:pPr>
      <w:jc w:val="left"/>
      <w:spacing w:before="156" w:after="156"/>
    </w:pPr>
    <w:rPr>
      <w:rFonts w:eastAsia="宋体" w:cs="宋体"/>
      <w:bCs/>
      <w:sz w:val="30"/>
    </w:rPr>
  </w:style>
  <w:style w:type="paragraph" w:styleId="1186"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87" w:customStyle="1">
    <w:name w:val="丁华标题1"/>
    <w:basedOn w:val="999"/>
    <w:next w:val="1188"/>
    <w:uiPriority w:val="0"/>
    <w:qFormat/>
    <w:pPr>
      <w:numPr>
        <w:ilvl w:val="0"/>
        <w:numId w:val="1"/>
      </w:numPr>
      <w:jc w:val="left"/>
      <w:keepLines/>
      <w:spacing w:before="600" w:after="120" w:line="578" w:lineRule="auto"/>
    </w:pPr>
    <w:rPr>
      <w:rFonts w:ascii="Times New Roman"/>
      <w:b w:val="0"/>
      <w:sz w:val="32"/>
      <w:szCs w:val="20"/>
    </w:rPr>
  </w:style>
  <w:style w:type="paragraph" w:styleId="1188" w:customStyle="1">
    <w:name w:val="丁华正文"/>
    <w:basedOn w:val="1060"/>
    <w:uiPriority w:val="0"/>
    <w:qFormat/>
    <w:pPr>
      <w:ind w:left="0" w:firstLine="510"/>
      <w:spacing w:line="360" w:lineRule="auto"/>
    </w:pPr>
    <w:rPr>
      <w:rFonts w:ascii="Times New Roman" w:hAnsi="Times New Roman" w:eastAsia="宋体"/>
      <w:color w:val="000000"/>
      <w:sz w:val="24"/>
      <w:szCs w:val="16"/>
    </w:rPr>
  </w:style>
  <w:style w:type="paragraph" w:styleId="1189" w:customStyle="1">
    <w:name w:val="方案正文"/>
    <w:basedOn w:val="772"/>
    <w:uiPriority w:val="0"/>
    <w:qFormat/>
    <w:pPr>
      <w:ind w:firstLine="359"/>
      <w:jc w:val="left"/>
      <w:spacing w:before="156" w:line="360" w:lineRule="auto"/>
    </w:pPr>
    <w:rPr>
      <w:rFonts w:ascii="Arial" w:hAnsi="Arial" w:cs="宋体"/>
      <w:sz w:val="24"/>
      <w:szCs w:val="21"/>
    </w:rPr>
  </w:style>
  <w:style w:type="paragraph" w:styleId="1190" w:customStyle="1">
    <w:name w:val="Char Char Char Char Char Char Char"/>
    <w:basedOn w:val="772"/>
    <w:uiPriority w:val="0"/>
    <w:qFormat/>
    <w:pPr>
      <w:jc w:val="left"/>
    </w:pPr>
    <w:rPr>
      <w:rFonts w:ascii="Tahoma" w:hAnsi="Tahoma"/>
      <w:sz w:val="24"/>
    </w:rPr>
  </w:style>
  <w:style w:type="paragraph" w:styleId="1191" w:customStyle="1">
    <w:name w:val="Char1"/>
    <w:basedOn w:val="772"/>
    <w:uiPriority w:val="0"/>
    <w:qFormat/>
    <w:rPr>
      <w:rFonts w:ascii="仿宋_GB2312" w:hAnsi="宋体" w:eastAsia="仿宋_GB2312" w:cs="宋体"/>
      <w:b/>
      <w:sz w:val="32"/>
      <w:szCs w:val="32"/>
    </w:rPr>
  </w:style>
  <w:style w:type="paragraph" w:styleId="1192" w:customStyle="1">
    <w:name w:val="普通文字"/>
    <w:basedOn w:val="772"/>
    <w:next w:val="772"/>
    <w:uiPriority w:val="0"/>
    <w:qFormat/>
    <w:rPr>
      <w:rFonts w:ascii="宋体" w:hAnsi="宋体" w:cs="宋体"/>
      <w:sz w:val="24"/>
    </w:rPr>
  </w:style>
  <w:style w:type="paragraph" w:styleId="1193" w:customStyle="1">
    <w:name w:val="正文文本 21"/>
    <w:basedOn w:val="772"/>
    <w:uiPriority w:val="0"/>
    <w:qFormat/>
    <w:pPr>
      <w:ind w:left="720" w:hanging="720"/>
      <w:widowControl/>
    </w:pPr>
    <w:rPr>
      <w:sz w:val="24"/>
      <w:lang w:val="en-GB"/>
    </w:rPr>
  </w:style>
  <w:style w:type="paragraph" w:styleId="1194" w:customStyle="1">
    <w:name w:val="Char Char Char Char"/>
    <w:basedOn w:val="1026"/>
    <w:uiPriority w:val="0"/>
    <w:qFormat/>
    <w:pPr>
      <w:spacing w:line="360" w:lineRule="auto"/>
    </w:pPr>
    <w:rPr>
      <w:rFonts w:ascii="Tahoma" w:hAnsi="Tahoma"/>
      <w:sz w:val="24"/>
      <w:szCs w:val="24"/>
    </w:rPr>
  </w:style>
  <w:style w:type="paragraph" w:styleId="1195" w:customStyle="1">
    <w:name w:val="马刚标题1"/>
    <w:basedOn w:val="999"/>
    <w:next w:val="772"/>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96" w:customStyle="1">
    <w:name w:val="列出段落4"/>
    <w:basedOn w:val="772"/>
    <w:uiPriority w:val="99"/>
    <w:qFormat/>
    <w:pPr>
      <w:ind w:firstLine="420"/>
    </w:pPr>
    <w:rPr>
      <w:rFonts w:ascii="Times New Roman" w:hAnsi="Times New Roman" w:eastAsia="宋体" w:cs="Times New Roman"/>
      <w:szCs w:val="20"/>
    </w:rPr>
  </w:style>
  <w:style w:type="paragraph" w:styleId="1197" w:customStyle="1">
    <w:name w:val="正文表标题"/>
    <w:next w:val="119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9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99" w:customStyle="1">
    <w:name w:val="表格1"/>
    <w:basedOn w:val="772"/>
    <w:uiPriority w:val="0"/>
    <w:qFormat/>
    <w:rPr>
      <w:rFonts w:ascii="宋体"/>
      <w:szCs w:val="21"/>
    </w:rPr>
  </w:style>
  <w:style w:type="paragraph" w:styleId="1200" w:customStyle="1">
    <w:name w:val="列出段落1"/>
    <w:basedOn w:val="772"/>
    <w:uiPriority w:val="0"/>
    <w:qFormat/>
    <w:pPr>
      <w:contextualSpacing/>
      <w:ind w:left="720"/>
      <w:jc w:val="left"/>
      <w:widowControl/>
    </w:pPr>
    <w:rPr>
      <w:rFonts w:ascii="Arial" w:hAnsi="Arial" w:eastAsia="黑体"/>
      <w:sz w:val="24"/>
      <w:szCs w:val="24"/>
      <w:lang w:eastAsia="en-US"/>
    </w:rPr>
  </w:style>
  <w:style w:type="paragraph" w:styleId="1201" w:customStyle="1">
    <w:name w:val="标题1，章节第一层"/>
    <w:basedOn w:val="1173"/>
    <w:next w:val="1173"/>
    <w:uiPriority w:val="0"/>
    <w:qFormat/>
    <w:pPr>
      <w:ind w:left="482"/>
      <w:spacing w:before="0"/>
      <w:tabs>
        <w:tab w:val="left" w:pos="693" w:leader="none"/>
      </w:tabs>
      <w:outlineLvl w:val="0"/>
    </w:pPr>
    <w:rPr>
      <w:color w:val="000000"/>
      <w:sz w:val="24"/>
      <w:szCs w:val="24"/>
    </w:rPr>
  </w:style>
  <w:style w:type="paragraph" w:styleId="1202" w:customStyle="1">
    <w:name w:val="首行缩进"/>
    <w:basedOn w:val="772"/>
    <w:uiPriority w:val="0"/>
    <w:qFormat/>
    <w:pPr>
      <w:ind w:firstLine="480"/>
    </w:pPr>
    <w:rPr>
      <w:szCs w:val="20"/>
      <w:lang w:val="zh-CN"/>
    </w:rPr>
  </w:style>
  <w:style w:type="paragraph" w:styleId="1203" w:customStyle="1">
    <w:name w:val="丁华标题2"/>
    <w:basedOn w:val="1001"/>
    <w:next w:val="1188"/>
    <w:uiPriority w:val="0"/>
    <w:qFormat/>
    <w:pPr>
      <w:numPr>
        <w:ilvl w:val="1"/>
        <w:numId w:val="1"/>
      </w:numPr>
      <w:spacing w:line="415" w:lineRule="auto"/>
    </w:pPr>
    <w:rPr>
      <w:rFonts w:ascii="Arial" w:hAnsi="Arial" w:eastAsia="黑体"/>
      <w:b w:val="0"/>
      <w:sz w:val="28"/>
      <w:szCs w:val="20"/>
    </w:rPr>
  </w:style>
  <w:style w:type="paragraph" w:styleId="1204" w:customStyle="1">
    <w:name w:val="a"/>
    <w:basedOn w:val="772"/>
    <w:uiPriority w:val="0"/>
    <w:qFormat/>
    <w:pPr>
      <w:spacing w:before="100" w:beforeAutospacing="1" w:after="100" w:afterAutospacing="1"/>
      <w:widowControl/>
    </w:pPr>
    <w:rPr>
      <w:rFonts w:ascii="宋体" w:hAnsi="宋体" w:cs="宋体"/>
      <w:sz w:val="24"/>
      <w:szCs w:val="24"/>
    </w:rPr>
  </w:style>
  <w:style w:type="paragraph" w:styleId="1205" w:customStyle="1">
    <w:name w:val="项目符号：一级"/>
    <w:basedOn w:val="1173"/>
    <w:next w:val="1173"/>
    <w:uiPriority w:val="0"/>
    <w:qFormat/>
    <w:pPr>
      <w:ind w:right="-134"/>
    </w:pPr>
    <w:rPr>
      <w:bCs w:val="0"/>
    </w:rPr>
  </w:style>
  <w:style w:type="paragraph" w:styleId="1206" w:customStyle="1">
    <w:name w:val="中等深浅网格 1 - 强调文字颜色 21"/>
    <w:basedOn w:val="772"/>
    <w:uiPriority w:val="0"/>
    <w:qFormat/>
    <w:pPr>
      <w:ind w:firstLine="420"/>
    </w:pPr>
    <w:rPr>
      <w:rFonts w:ascii="Calibri" w:hAnsi="Calibri"/>
      <w:szCs w:val="22"/>
    </w:rPr>
  </w:style>
  <w:style w:type="paragraph" w:styleId="1207" w:customStyle="1">
    <w:name w:val="样式1"/>
    <w:basedOn w:val="772"/>
    <w:uiPriority w:val="0"/>
    <w:qFormat/>
    <w:pPr>
      <w:ind w:firstLine="480"/>
      <w:spacing w:line="300" w:lineRule="auto"/>
    </w:pPr>
    <w:rPr>
      <w:sz w:val="24"/>
      <w:szCs w:val="24"/>
    </w:rPr>
  </w:style>
  <w:style w:type="paragraph" w:styleId="1208" w:customStyle="1">
    <w:name w:val="表格"/>
    <w:basedOn w:val="772"/>
    <w:uiPriority w:val="0"/>
    <w:qFormat/>
    <w:pPr>
      <w:ind w:firstLine="21"/>
    </w:pPr>
    <w:rPr>
      <w:rFonts w:ascii="宋体" w:hAnsi="宋体" w:cs="宋体"/>
      <w:sz w:val="20"/>
    </w:rPr>
  </w:style>
  <w:style w:type="paragraph" w:styleId="1209" w:customStyle="1">
    <w:name w:val=" Char Char1 Char"/>
    <w:basedOn w:val="772"/>
    <w:uiPriority w:val="0"/>
    <w:qFormat/>
    <w:pPr>
      <w:jc w:val="left"/>
      <w:spacing w:after="160" w:line="240" w:lineRule="exact"/>
      <w:widowControl/>
    </w:pPr>
    <w:rPr>
      <w:rFonts w:ascii="Verdana" w:hAnsi="Verdana"/>
      <w:sz w:val="20"/>
      <w:lang w:eastAsia="en-US"/>
    </w:rPr>
  </w:style>
  <w:style w:type="paragraph" w:styleId="1210" w:customStyle="1">
    <w:name w:val="zw"/>
    <w:basedOn w:val="772"/>
    <w:uiPriority w:val="0"/>
    <w:qFormat/>
    <w:pPr>
      <w:ind w:firstLine="480"/>
      <w:jc w:val="left"/>
      <w:spacing w:line="360" w:lineRule="auto"/>
      <w:widowControl/>
    </w:pPr>
    <w:rPr>
      <w:rFonts w:ascii="宋体" w:hAnsi="宋体"/>
      <w:bCs/>
      <w:sz w:val="24"/>
    </w:rPr>
  </w:style>
  <w:style w:type="paragraph" w:styleId="1211" w:customStyle="1">
    <w:name w:val="xl35"/>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12" w:customStyle="1">
    <w:name w:val="xl3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3" w:customStyle="1">
    <w:name w:val="Char Char Char Char Char Char Char1 Char"/>
    <w:basedOn w:val="772"/>
    <w:uiPriority w:val="0"/>
    <w:qFormat/>
    <w:rPr>
      <w:rFonts w:ascii="Tahoma" w:hAnsi="Tahoma" w:cs="Tahoma"/>
      <w:sz w:val="24"/>
    </w:rPr>
  </w:style>
  <w:style w:type="paragraph" w:styleId="1214" w:customStyle="1">
    <w:name w:val="retrait3"/>
    <w:basedOn w:val="772"/>
    <w:uiPriority w:val="0"/>
    <w:qFormat/>
    <w:pPr>
      <w:ind w:left="851"/>
      <w:jc w:val="left"/>
      <w:spacing w:before="20" w:after="20"/>
      <w:widowControl/>
    </w:pPr>
    <w:rPr>
      <w:rFonts w:ascii="Arial" w:hAnsi="Arial"/>
      <w:sz w:val="24"/>
      <w:lang w:val="en-GB"/>
    </w:rPr>
  </w:style>
  <w:style w:type="paragraph" w:styleId="1215" w:customStyle="1">
    <w:name w:val="标题3，章节第三层"/>
    <w:basedOn w:val="772"/>
    <w:next w:val="1173"/>
    <w:uiPriority w:val="0"/>
    <w:qFormat/>
    <w:pPr>
      <w:spacing w:before="78" w:line="300" w:lineRule="auto"/>
      <w:outlineLvl w:val="2"/>
    </w:pPr>
    <w:rPr>
      <w:rFonts w:ascii="Arial" w:hAnsi="Arial" w:eastAsia="华文细黑"/>
      <w:sz w:val="30"/>
      <w:szCs w:val="24"/>
    </w:rPr>
  </w:style>
  <w:style w:type="paragraph" w:styleId="1216" w:customStyle="1">
    <w:name w:val="Char2 Char Char Char Char Char Char1"/>
    <w:basedOn w:val="772"/>
    <w:uiPriority w:val="0"/>
    <w:qFormat/>
    <w:pPr>
      <w:ind w:hanging="425"/>
      <w:keepNext/>
      <w:spacing w:before="80" w:after="80"/>
      <w:widowControl/>
      <w:tabs>
        <w:tab w:val="left" w:pos="425" w:leader="none"/>
      </w:tabs>
    </w:pPr>
    <w:rPr>
      <w:rFonts w:ascii="Arial" w:hAnsi="Arial" w:cs="Arial"/>
      <w:sz w:val="20"/>
    </w:rPr>
  </w:style>
  <w:style w:type="paragraph" w:styleId="1217" w:customStyle="1">
    <w:name w:val="正文 + Arial Char"/>
    <w:basedOn w:val="772"/>
    <w:uiPriority w:val="0"/>
    <w:qFormat/>
    <w:pPr>
      <w:ind w:left="315" w:hanging="315"/>
      <w:spacing w:line="300" w:lineRule="auto"/>
      <w:widowControl/>
      <w:tabs>
        <w:tab w:val="left" w:pos="315" w:leader="none"/>
      </w:tabs>
    </w:pPr>
    <w:rPr>
      <w:rFonts w:ascii="Arial" w:hAnsi="Arial" w:cs="Arial"/>
      <w:b/>
      <w:color w:val="000000"/>
    </w:rPr>
  </w:style>
  <w:style w:type="paragraph" w:styleId="1218" w:customStyle="1">
    <w:name w:val="font10"/>
    <w:basedOn w:val="77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19" w:customStyle="1">
    <w:name w:val="xl31"/>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20"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21" w:customStyle="1">
    <w:name w:val="标准文本"/>
    <w:basedOn w:val="772"/>
    <w:uiPriority w:val="0"/>
    <w:qFormat/>
    <w:pPr>
      <w:ind w:firstLine="480"/>
      <w:spacing w:line="360" w:lineRule="auto"/>
    </w:pPr>
    <w:rPr>
      <w:rFonts w:cs="宋体"/>
      <w:sz w:val="24"/>
      <w:szCs w:val="24"/>
    </w:rPr>
  </w:style>
  <w:style w:type="paragraph" w:styleId="1222" w:customStyle="1">
    <w:name w:val="Pa5"/>
    <w:basedOn w:val="772"/>
    <w:next w:val="772"/>
    <w:uiPriority w:val="0"/>
    <w:qFormat/>
    <w:pPr>
      <w:jc w:val="left"/>
      <w:spacing w:line="241" w:lineRule="atLeast"/>
    </w:pPr>
    <w:rPr>
      <w:rFonts w:ascii="HYDaHeiJ" w:eastAsia="HYDaHeiJ"/>
      <w:sz w:val="24"/>
      <w:szCs w:val="24"/>
    </w:rPr>
  </w:style>
  <w:style w:type="paragraph" w:styleId="1223" w:customStyle="1">
    <w:name w:val="font9"/>
    <w:basedOn w:val="772"/>
    <w:uiPriority w:val="0"/>
    <w:qFormat/>
    <w:pPr>
      <w:jc w:val="left"/>
      <w:spacing w:before="100" w:beforeAutospacing="1" w:after="100" w:afterAutospacing="1"/>
      <w:widowControl/>
    </w:pPr>
    <w:rPr>
      <w:b/>
      <w:bCs/>
      <w:sz w:val="20"/>
    </w:rPr>
  </w:style>
  <w:style w:type="paragraph" w:styleId="1224" w:customStyle="1">
    <w:name w:val="1"/>
    <w:basedOn w:val="772"/>
    <w:next w:val="1067"/>
    <w:uiPriority w:val="0"/>
    <w:qFormat/>
    <w:pPr>
      <w:spacing w:line="360" w:lineRule="auto"/>
    </w:pPr>
    <w:rPr>
      <w:rFonts w:eastAsia="仿宋_GB2312"/>
      <w:sz w:val="24"/>
      <w:szCs w:val="24"/>
    </w:rPr>
  </w:style>
  <w:style w:type="paragraph" w:styleId="1225" w:customStyle="1">
    <w:name w:val="font12"/>
    <w:basedOn w:val="772"/>
    <w:uiPriority w:val="0"/>
    <w:qFormat/>
    <w:pPr>
      <w:jc w:val="left"/>
      <w:spacing w:before="100" w:beforeAutospacing="1" w:after="100" w:afterAutospacing="1"/>
      <w:widowControl/>
    </w:pPr>
    <w:rPr>
      <w:rFonts w:ascii="宋体" w:hAnsi="宋体" w:cs="宋体"/>
      <w:sz w:val="36"/>
      <w:szCs w:val="36"/>
    </w:rPr>
  </w:style>
  <w:style w:type="paragraph" w:styleId="1226" w:customStyle="1">
    <w:name w:val="Char Char Char Char Char Char Char Char"/>
    <w:basedOn w:val="772"/>
    <w:uiPriority w:val="0"/>
    <w:qFormat/>
    <w:rPr>
      <w:rFonts w:ascii="Tahoma" w:hAnsi="Tahoma" w:cs="Tahoma"/>
      <w:sz w:val="24"/>
    </w:rPr>
  </w:style>
  <w:style w:type="paragraph" w:styleId="1227" w:customStyle="1">
    <w:name w:val="xl43"/>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28" w:customStyle="1">
    <w:name w:val="正文缩进2字符"/>
    <w:basedOn w:val="772"/>
    <w:uiPriority w:val="0"/>
    <w:qFormat/>
    <w:pPr>
      <w:ind w:firstLine="200"/>
      <w:spacing w:line="300" w:lineRule="auto"/>
    </w:pPr>
    <w:rPr>
      <w:rFonts w:ascii="仿宋_GB2312" w:eastAsia="仿宋_GB2312"/>
      <w:sz w:val="32"/>
      <w:szCs w:val="32"/>
    </w:rPr>
  </w:style>
  <w:style w:type="paragraph" w:styleId="1229" w:customStyle="1">
    <w:name w:val=" Char1"/>
    <w:basedOn w:val="772"/>
    <w:uiPriority w:val="0"/>
    <w:qFormat/>
    <w:pPr>
      <w:jc w:val="left"/>
      <w:spacing w:after="160" w:line="240" w:lineRule="exact"/>
      <w:widowControl/>
    </w:pPr>
    <w:rPr>
      <w:rFonts w:ascii="Verdana" w:hAnsi="Verdana" w:eastAsia="仿宋_GB2312"/>
      <w:sz w:val="24"/>
      <w:lang w:eastAsia="en-US"/>
    </w:rPr>
  </w:style>
  <w:style w:type="paragraph" w:styleId="1230" w:customStyle="1">
    <w:name w:val="彩色列表1"/>
    <w:basedOn w:val="772"/>
    <w:uiPriority w:val="34"/>
    <w:qFormat/>
    <w:pPr>
      <w:ind w:firstLine="420"/>
    </w:pPr>
    <w:rPr>
      <w:szCs w:val="24"/>
    </w:rPr>
  </w:style>
  <w:style w:type="paragraph" w:styleId="1231" w:customStyle="1">
    <w:name w:val="font5"/>
    <w:basedOn w:val="772"/>
    <w:uiPriority w:val="0"/>
    <w:qFormat/>
    <w:pPr>
      <w:jc w:val="left"/>
      <w:spacing w:before="100" w:beforeAutospacing="1" w:after="100" w:afterAutospacing="1"/>
      <w:widowControl/>
    </w:pPr>
    <w:rPr>
      <w:rFonts w:ascii="宋体" w:hAnsi="宋体" w:cs="宋体"/>
      <w:sz w:val="18"/>
      <w:szCs w:val="18"/>
    </w:rPr>
  </w:style>
  <w:style w:type="paragraph" w:styleId="1232" w:customStyle="1">
    <w:name w:val="符号与编号 Char"/>
    <w:basedOn w:val="772"/>
    <w:uiPriority w:val="0"/>
    <w:qFormat/>
    <w:pPr>
      <w:ind w:left="720"/>
      <w:spacing w:after="156" w:line="400" w:lineRule="atLeast"/>
      <w:tabs>
        <w:tab w:val="left" w:pos="720" w:leader="none"/>
      </w:tabs>
    </w:pPr>
    <w:rPr>
      <w:sz w:val="24"/>
      <w:szCs w:val="24"/>
    </w:rPr>
  </w:style>
  <w:style w:type="paragraph" w:styleId="1233" w:customStyle="1">
    <w:name w:val="Char1 Char Char Char"/>
    <w:basedOn w:val="772"/>
    <w:uiPriority w:val="0"/>
    <w:qFormat/>
    <w:rPr>
      <w:rFonts w:ascii="Tahoma" w:hAnsi="Tahoma" w:cs="Tahoma"/>
      <w:sz w:val="24"/>
    </w:rPr>
  </w:style>
  <w:style w:type="paragraph" w:styleId="1234" w:customStyle="1">
    <w:name w:val="xl45"/>
    <w:basedOn w:val="77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35" w:customStyle="1">
    <w:name w:val="插图"/>
    <w:basedOn w:val="772"/>
    <w:uiPriority w:val="0"/>
    <w:qFormat/>
    <w:pPr>
      <w:jc w:val="center"/>
      <w:tabs>
        <w:tab w:val="left" w:pos="1620" w:leader="none"/>
      </w:tabs>
    </w:pPr>
    <w:rPr>
      <w:bCs/>
      <w:color w:val="000000"/>
      <w:szCs w:val="22"/>
    </w:rPr>
  </w:style>
  <w:style w:type="paragraph" w:styleId="1236" w:customStyle="1">
    <w:name w:val="表蕊"/>
    <w:basedOn w:val="772"/>
    <w:uiPriority w:val="0"/>
    <w:qFormat/>
    <w:pPr>
      <w:jc w:val="left"/>
      <w:spacing w:line="320" w:lineRule="atLeast"/>
    </w:pPr>
    <w:rPr>
      <w:rFonts w:eastAsia="楷体_GB2312"/>
      <w:spacing w:val="-10"/>
    </w:rPr>
  </w:style>
  <w:style w:type="paragraph" w:styleId="1237" w:customStyle="1">
    <w:name w:val="正文 + 宋体"/>
    <w:basedOn w:val="772"/>
    <w:uiPriority w:val="0"/>
    <w:qFormat/>
    <w:pPr>
      <w:ind w:firstLine="420"/>
      <w:spacing w:line="360" w:lineRule="auto"/>
    </w:pPr>
    <w:rPr>
      <w:szCs w:val="24"/>
    </w:rPr>
  </w:style>
  <w:style w:type="paragraph" w:styleId="1238" w:customStyle="1">
    <w:name w:val="样式4 Char"/>
    <w:basedOn w:val="772"/>
    <w:uiPriority w:val="0"/>
    <w:qFormat/>
    <w:pPr>
      <w:ind w:firstLine="480"/>
      <w:jc w:val="left"/>
      <w:spacing w:line="360" w:lineRule="auto"/>
      <w:widowControl/>
    </w:pPr>
    <w:rPr>
      <w:rFonts w:cs="宋体"/>
      <w:color w:val="000000"/>
      <w:sz w:val="24"/>
      <w:szCs w:val="24"/>
    </w:rPr>
  </w:style>
  <w:style w:type="paragraph" w:styleId="1239" w:customStyle="1">
    <w:name w:val="小四 段落 宋体 Char Char Char Char"/>
    <w:basedOn w:val="772"/>
    <w:uiPriority w:val="0"/>
    <w:qFormat/>
    <w:pPr>
      <w:ind w:right="-33" w:firstLine="480"/>
      <w:jc w:val="left"/>
      <w:spacing w:line="360" w:lineRule="auto"/>
    </w:pPr>
    <w:rPr>
      <w:sz w:val="24"/>
      <w:szCs w:val="24"/>
    </w:rPr>
  </w:style>
  <w:style w:type="paragraph" w:styleId="1240" w:customStyle="1">
    <w:name w:val="样式3"/>
    <w:basedOn w:val="772"/>
    <w:next w:val="772"/>
    <w:uiPriority w:val="0"/>
    <w:qFormat/>
    <w:pPr>
      <w:spacing w:line="360" w:lineRule="auto"/>
    </w:pPr>
  </w:style>
  <w:style w:type="paragraph" w:styleId="1241" w:customStyle="1">
    <w:name w:val="xl33"/>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2" w:customStyle="1">
    <w:name w:val="flName"/>
    <w:basedOn w:val="1243"/>
    <w:uiPriority w:val="0"/>
    <w:qFormat/>
    <w:pPr>
      <w:spacing w:before="0" w:line="113" w:lineRule="atLeast"/>
    </w:pPr>
  </w:style>
  <w:style w:type="paragraph" w:styleId="1243" w:customStyle="1">
    <w:name w:val="flNote"/>
    <w:basedOn w:val="772"/>
    <w:uiPriority w:val="0"/>
    <w:qFormat/>
    <w:pPr>
      <w:jc w:val="center"/>
      <w:spacing w:before="567" w:line="360" w:lineRule="atLeast"/>
    </w:pPr>
    <w:rPr>
      <w:rFonts w:eastAsia="黑体"/>
      <w:b/>
      <w:sz w:val="24"/>
    </w:rPr>
  </w:style>
  <w:style w:type="paragraph" w:styleId="1244" w:customStyle="1">
    <w:name w:val="xl39"/>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5">
    <w:name w:val="No Spacing"/>
    <w:uiPriority w:val="0"/>
    <w:qFormat/>
    <w:pPr>
      <w:jc w:val="both"/>
      <w:widowControl w:val="off"/>
    </w:pPr>
    <w:rPr>
      <w:rFonts w:hint="default" w:ascii="Calibri" w:hAnsi="Calibri" w:eastAsia="微软雅黑" w:cs="Times New Roman"/>
      <w:sz w:val="24"/>
      <w:szCs w:val="22"/>
      <w:lang w:val="en-US" w:eastAsia="zh-CN" w:bidi="ar-SA"/>
    </w:rPr>
  </w:style>
  <w:style w:type="paragraph" w:styleId="1246" w:customStyle="1">
    <w:name w:val="Char Char Char Char Char Char"/>
    <w:basedOn w:val="772"/>
    <w:uiPriority w:val="0"/>
    <w:qFormat/>
    <w:rPr>
      <w:rFonts w:ascii="Tahoma" w:hAnsi="Tahoma" w:cs="Tahoma"/>
      <w:sz w:val="24"/>
    </w:rPr>
  </w:style>
  <w:style w:type="paragraph" w:styleId="1247" w:customStyle="1">
    <w:name w:val="样式 加点正文 + 段前: 0.5 行 段后: 0.5 行1"/>
    <w:basedOn w:val="772"/>
    <w:uiPriority w:val="0"/>
    <w:qFormat/>
    <w:pPr>
      <w:numPr>
        <w:ilvl w:val="0"/>
        <w:numId w:val="2"/>
      </w:numPr>
      <w:ind w:left="1268"/>
      <w:spacing w:before="156" w:after="156" w:line="300" w:lineRule="auto"/>
      <w:tabs>
        <w:tab w:val="left" w:pos="1268" w:leader="none"/>
      </w:tabs>
    </w:pPr>
    <w:rPr>
      <w:sz w:val="24"/>
    </w:rPr>
  </w:style>
  <w:style w:type="paragraph" w:styleId="1248" w:customStyle="1">
    <w:name w:val=" Char Char"/>
    <w:basedOn w:val="772"/>
    <w:uiPriority w:val="0"/>
    <w:qFormat/>
    <w:rPr>
      <w:rFonts w:ascii="Tahoma" w:hAnsi="Tahoma"/>
      <w:sz w:val="24"/>
    </w:rPr>
  </w:style>
  <w:style w:type="paragraph" w:styleId="1249" w:customStyle="1">
    <w:name w:val="Char Char Char"/>
    <w:basedOn w:val="772"/>
    <w:uiPriority w:val="0"/>
    <w:qFormat/>
    <w:rPr>
      <w:rFonts w:ascii="Tahoma" w:hAnsi="Tahoma"/>
      <w:sz w:val="24"/>
    </w:rPr>
  </w:style>
  <w:style w:type="paragraph" w:styleId="1250" w:customStyle="1">
    <w:name w:val="列出段落2"/>
    <w:basedOn w:val="772"/>
    <w:uiPriority w:val="0"/>
    <w:qFormat/>
    <w:pPr>
      <w:ind w:left="720"/>
      <w:jc w:val="left"/>
      <w:widowControl/>
    </w:pPr>
    <w:rPr>
      <w:rFonts w:ascii="Arial" w:hAnsi="Arial" w:eastAsia="黑体" w:cs="Arial"/>
      <w:sz w:val="24"/>
      <w:szCs w:val="24"/>
      <w:lang w:eastAsia="en-US"/>
    </w:rPr>
  </w:style>
  <w:style w:type="paragraph" w:styleId="1251" w:customStyle="1">
    <w:name w:val="彩色底纹1"/>
    <w:uiPriority w:val="0"/>
    <w:semiHidden/>
    <w:qFormat/>
    <w:rPr>
      <w:rFonts w:hint="default" w:ascii="Times New Roman" w:hAnsi="Times New Roman" w:eastAsia="宋体" w:cs="Times New Roman"/>
      <w:sz w:val="21"/>
      <w:szCs w:val="24"/>
      <w:lang w:val="en-US" w:eastAsia="zh-CN" w:bidi="ar-SA"/>
    </w:rPr>
  </w:style>
  <w:style w:type="paragraph" w:styleId="1252" w:customStyle="1">
    <w:name w:val="xl57"/>
    <w:basedOn w:val="7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53" w:customStyle="1">
    <w:name w:val="Char Char1 Char Char Char Char Char Char Char"/>
    <w:basedOn w:val="772"/>
    <w:uiPriority w:val="0"/>
    <w:qFormat/>
    <w:rPr>
      <w:rFonts w:ascii="Tahoma" w:hAnsi="Tahoma" w:cs="Tahoma"/>
      <w:sz w:val="24"/>
    </w:rPr>
  </w:style>
  <w:style w:type="paragraph" w:styleId="1254" w:customStyle="1">
    <w:name w:val="章标题"/>
    <w:next w:val="1198"/>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255" w:customStyle="1">
    <w:name w:val="文档正文"/>
    <w:basedOn w:val="772"/>
    <w:uiPriority w:val="0"/>
    <w:qFormat/>
    <w:pPr>
      <w:spacing w:line="360" w:lineRule="auto"/>
    </w:pPr>
    <w:rPr>
      <w:rFonts w:ascii="宋体" w:hAnsi="宋体"/>
      <w:b/>
      <w:bCs/>
      <w:szCs w:val="24"/>
    </w:rPr>
  </w:style>
  <w:style w:type="paragraph" w:styleId="1256" w:customStyle="1">
    <w:name w:val="符号与编号"/>
    <w:basedOn w:val="772"/>
    <w:uiPriority w:val="0"/>
    <w:qFormat/>
    <w:pPr>
      <w:ind w:left="900" w:hanging="420"/>
      <w:spacing w:after="156" w:line="400" w:lineRule="atLeast"/>
      <w:tabs>
        <w:tab w:val="left" w:pos="900" w:leader="none"/>
      </w:tabs>
    </w:pPr>
    <w:rPr>
      <w:sz w:val="24"/>
      <w:szCs w:val="24"/>
    </w:rPr>
  </w:style>
  <w:style w:type="paragraph" w:styleId="1257" w:customStyle="1">
    <w:name w:val="正文2"/>
    <w:basedOn w:val="772"/>
    <w:uiPriority w:val="0"/>
    <w:qFormat/>
    <w:pPr>
      <w:ind w:firstLine="510"/>
      <w:spacing w:before="156" w:line="360" w:lineRule="auto"/>
    </w:pPr>
    <w:rPr>
      <w:sz w:val="24"/>
    </w:rPr>
  </w:style>
  <w:style w:type="paragraph" w:styleId="1258" w:customStyle="1">
    <w:name w:val="font11"/>
    <w:basedOn w:val="772"/>
    <w:uiPriority w:val="0"/>
    <w:qFormat/>
    <w:pPr>
      <w:jc w:val="left"/>
      <w:spacing w:before="100" w:beforeAutospacing="1" w:after="100" w:afterAutospacing="1"/>
      <w:widowControl/>
    </w:pPr>
    <w:rPr>
      <w:b/>
      <w:bCs/>
      <w:sz w:val="18"/>
      <w:szCs w:val="18"/>
    </w:rPr>
  </w:style>
  <w:style w:type="paragraph" w:styleId="1259" w:customStyle="1">
    <w:name w:val="Normal1"/>
    <w:basedOn w:val="772"/>
    <w:uiPriority w:val="0"/>
    <w:qFormat/>
    <w:rPr>
      <w:rFonts w:ascii="Calibri" w:hAnsi="Calibri" w:eastAsia="Calibri" w:cs="宋体"/>
      <w:lang w:val="zh-CN"/>
    </w:rPr>
  </w:style>
  <w:style w:type="paragraph" w:styleId="1260" w:customStyle="1">
    <w:name w:val="默认段落字体 Para Char Char Char Char Char Char Char"/>
    <w:basedOn w:val="772"/>
    <w:uiPriority w:val="0"/>
    <w:qFormat/>
  </w:style>
  <w:style w:type="paragraph" w:styleId="1261" w:customStyle="1">
    <w:name w:val="xl63"/>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62" w:customStyle="1">
    <w:name w:val="项目符号，二级"/>
    <w:basedOn w:val="1173"/>
    <w:next w:val="1173"/>
    <w:uiPriority w:val="0"/>
    <w:qFormat/>
    <w:pPr>
      <w:numPr>
        <w:ilvl w:val="0"/>
        <w:numId w:val="1"/>
      </w:numPr>
      <w:ind w:left="1337" w:right="-27" w:firstLine="480"/>
      <w:tabs>
        <w:tab w:val="left" w:pos="1211" w:leader="none"/>
        <w:tab w:val="left" w:pos="1337" w:leader="none"/>
      </w:tabs>
    </w:pPr>
    <w:rPr>
      <w:bCs w:val="0"/>
      <w:color w:val="000000"/>
      <w:sz w:val="24"/>
      <w:szCs w:val="24"/>
    </w:rPr>
  </w:style>
  <w:style w:type="paragraph" w:styleId="1263" w:customStyle="1">
    <w:name w:val="xl52"/>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64"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265" w:customStyle="1">
    <w:name w:val="xl61"/>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66" w:customStyle="1">
    <w:name w:val="马刚标题3"/>
    <w:basedOn w:val="772"/>
    <w:next w:val="77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67" w:customStyle="1">
    <w:name w:val="样式2"/>
    <w:basedOn w:val="772"/>
    <w:uiPriority w:val="0"/>
    <w:qFormat/>
    <w:pPr>
      <w:ind w:left="200"/>
      <w:spacing w:line="360" w:lineRule="auto"/>
    </w:pPr>
    <w:rPr>
      <w:rFonts w:ascii="宋体" w:hAnsi="宋体"/>
      <w:b/>
      <w:sz w:val="24"/>
      <w:szCs w:val="24"/>
    </w:rPr>
  </w:style>
  <w:style w:type="paragraph" w:styleId="1268" w:customStyle="1">
    <w:name w:val="Char Char Char Char Char Char Char Char Char Char Char Char Char Char Char Char Char Char Char Char Char Char Char"/>
    <w:basedOn w:val="772"/>
    <w:uiPriority w:val="0"/>
    <w:qFormat/>
    <w:rPr>
      <w:rFonts w:ascii="Tahoma" w:hAnsi="Tahoma" w:cs="Tahoma"/>
      <w:sz w:val="24"/>
    </w:rPr>
  </w:style>
  <w:style w:type="paragraph" w:styleId="1269" w:customStyle="1">
    <w:name w:val="正文 首行缩进:  2 字符 Char Char"/>
    <w:basedOn w:val="772"/>
    <w:uiPriority w:val="0"/>
    <w:qFormat/>
    <w:pPr>
      <w:ind w:firstLine="480"/>
      <w:spacing w:line="360" w:lineRule="auto"/>
    </w:pPr>
    <w:rPr>
      <w:rFonts w:ascii="楷体_GB2312" w:eastAsia="楷体_GB2312"/>
      <w:bCs/>
      <w:sz w:val="24"/>
      <w:szCs w:val="24"/>
    </w:rPr>
  </w:style>
  <w:style w:type="paragraph" w:styleId="1270" w:customStyle="1">
    <w:name w:val="标题3"/>
    <w:basedOn w:val="1004"/>
    <w:uiPriority w:val="0"/>
    <w:qFormat/>
    <w:pPr>
      <w:keepLines w:val="0"/>
      <w:keepNext w:val="0"/>
      <w:spacing w:before="0" w:after="0" w:line="360" w:lineRule="auto"/>
    </w:pPr>
    <w:rPr>
      <w:rFonts w:eastAsia="仿宋_GB2312"/>
      <w:b w:val="0"/>
      <w:bCs/>
      <w:sz w:val="30"/>
      <w:szCs w:val="32"/>
    </w:rPr>
  </w:style>
  <w:style w:type="paragraph" w:styleId="1271" w:customStyle="1">
    <w:name w:val="Pa6"/>
    <w:basedOn w:val="772"/>
    <w:next w:val="772"/>
    <w:uiPriority w:val="0"/>
    <w:qFormat/>
    <w:pPr>
      <w:jc w:val="left"/>
      <w:spacing w:line="241" w:lineRule="atLeast"/>
    </w:pPr>
    <w:rPr>
      <w:rFonts w:ascii="HYDaHeiJ" w:eastAsia="HYDaHeiJ"/>
      <w:sz w:val="24"/>
      <w:szCs w:val="24"/>
    </w:rPr>
  </w:style>
  <w:style w:type="paragraph" w:styleId="1272" w:customStyle="1">
    <w:name w:val="正文文本 New New"/>
    <w:basedOn w:val="772"/>
    <w:uiPriority w:val="0"/>
    <w:qFormat/>
    <w:pPr>
      <w:ind w:firstLine="200"/>
      <w:spacing w:before="60" w:after="60" w:line="360" w:lineRule="auto"/>
      <w:widowControl/>
    </w:pPr>
    <w:rPr>
      <w:rFonts w:eastAsia="华文楷体"/>
      <w:sz w:val="24"/>
      <w:szCs w:val="24"/>
    </w:rPr>
  </w:style>
  <w:style w:type="paragraph" w:styleId="1273" w:customStyle="1">
    <w:name w:val=" Char Char Char"/>
    <w:basedOn w:val="1026"/>
    <w:uiPriority w:val="0"/>
    <w:qFormat/>
    <w:pPr>
      <w:spacing w:line="436" w:lineRule="exact"/>
    </w:pPr>
    <w:rPr>
      <w:szCs w:val="24"/>
    </w:rPr>
  </w:style>
  <w:style w:type="paragraph" w:styleId="1274" w:customStyle="1">
    <w:name w:val="font8"/>
    <w:basedOn w:val="772"/>
    <w:uiPriority w:val="0"/>
    <w:qFormat/>
    <w:pPr>
      <w:jc w:val="left"/>
      <w:spacing w:before="100" w:beforeAutospacing="1" w:after="100" w:afterAutospacing="1"/>
      <w:widowControl/>
    </w:pPr>
    <w:rPr>
      <w:rFonts w:ascii="宋体" w:hAnsi="宋体" w:cs="宋体"/>
      <w:b/>
      <w:bCs/>
      <w:i/>
      <w:iCs/>
      <w:sz w:val="20"/>
    </w:rPr>
  </w:style>
  <w:style w:type="paragraph" w:styleId="1275" w:customStyle="1">
    <w:name w:val="样式"/>
    <w:basedOn w:val="772"/>
    <w:uiPriority w:val="0"/>
    <w:qFormat/>
    <w:pPr>
      <w:spacing w:before="120" w:after="120" w:line="360" w:lineRule="auto"/>
    </w:pPr>
    <w:rPr>
      <w:rFonts w:ascii="宋体"/>
      <w:sz w:val="24"/>
    </w:rPr>
  </w:style>
  <w:style w:type="paragraph" w:styleId="1276" w:customStyle="1">
    <w:name w:val="Test2"/>
    <w:basedOn w:val="1001"/>
    <w:uiPriority w:val="0"/>
    <w:qFormat/>
    <w:pPr>
      <w:jc w:val="center"/>
      <w:spacing w:before="156" w:after="156" w:line="480" w:lineRule="exact"/>
      <w:widowControl/>
    </w:pPr>
    <w:rPr>
      <w:rFonts w:ascii="黑体" w:hAnsi="Arial" w:eastAsia="黑体"/>
      <w:bCs/>
      <w:sz w:val="24"/>
    </w:rPr>
  </w:style>
  <w:style w:type="paragraph" w:styleId="1277" w:customStyle="1">
    <w:name w:val="二级条标题"/>
    <w:basedOn w:val="772"/>
    <w:next w:val="1198"/>
    <w:uiPriority w:val="0"/>
    <w:qFormat/>
    <w:pPr>
      <w:ind w:hanging="420"/>
      <w:widowControl/>
      <w:tabs>
        <w:tab w:val="left" w:pos="2240" w:leader="none"/>
      </w:tabs>
      <w:outlineLvl w:val="3"/>
    </w:pPr>
    <w:rPr>
      <w:rFonts w:eastAsia="黑体"/>
    </w:rPr>
  </w:style>
  <w:style w:type="paragraph" w:styleId="1278" w:customStyle="1">
    <w:name w:val="样式 标题 2第一章 标题 2Heading 2 HiddenHeading 2 CCBSheading 2H2h2..."/>
    <w:basedOn w:val="1001"/>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79" w:customStyle="1">
    <w:name w:val="样式 段后: 0.5 行 左  0.75 字符"/>
    <w:basedOn w:val="772"/>
    <w:uiPriority w:val="0"/>
    <w:qFormat/>
    <w:pPr>
      <w:ind w:firstLine="420"/>
      <w:spacing w:line="360" w:lineRule="auto"/>
      <w:widowControl/>
    </w:pPr>
    <w:rPr>
      <w:rFonts w:hAnsi="Arial" w:cs="Arial"/>
      <w:szCs w:val="21"/>
    </w:rPr>
  </w:style>
  <w:style w:type="paragraph" w:styleId="1280" w:customStyle="1">
    <w:name w:val="标题5，章节第五层"/>
    <w:basedOn w:val="772"/>
    <w:next w:val="772"/>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81" w:customStyle="1">
    <w:name w:val="华宇段落1 Char"/>
    <w:basedOn w:val="772"/>
    <w:uiPriority w:val="0"/>
    <w:qFormat/>
    <w:pPr>
      <w:ind w:firstLine="200"/>
      <w:spacing w:line="360" w:lineRule="auto"/>
    </w:pPr>
    <w:rPr>
      <w:bCs/>
      <w:sz w:val="24"/>
      <w:szCs w:val="24"/>
    </w:rPr>
  </w:style>
  <w:style w:type="paragraph" w:styleId="1282" w:customStyle="1">
    <w:name w:val=" Char Char Char Char Char Char Char Char Char Char Char Char Char Char Char Char Char Char Char Char Char"/>
    <w:basedOn w:val="772"/>
    <w:uiPriority w:val="0"/>
    <w:qFormat/>
    <w:rPr>
      <w:rFonts w:ascii="Tahoma" w:hAnsi="Tahoma"/>
      <w:sz w:val="24"/>
    </w:rPr>
  </w:style>
  <w:style w:type="paragraph" w:styleId="1283" w:customStyle="1">
    <w:name w:val="xl47"/>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84" w:customStyle="1">
    <w:name w:val="马刚标题4"/>
    <w:basedOn w:val="1266"/>
    <w:next w:val="772"/>
    <w:uiPriority w:val="0"/>
    <w:qFormat/>
    <w:pPr>
      <w:spacing w:before="100" w:after="40"/>
      <w:tabs>
        <w:tab w:val="left" w:pos="1050" w:leader="none"/>
      </w:tabs>
      <w:outlineLvl w:val="3"/>
    </w:pPr>
    <w:rPr>
      <w:b w:val="0"/>
    </w:rPr>
  </w:style>
  <w:style w:type="paragraph" w:styleId="1285" w:customStyle="1">
    <w:name w:val=" Char Char1 Char Char Char Char1 Char Char Char Char Char Char"/>
    <w:basedOn w:val="772"/>
    <w:uiPriority w:val="0"/>
    <w:qFormat/>
    <w:rPr>
      <w:rFonts w:ascii="Tahoma" w:hAnsi="Tahoma"/>
      <w:sz w:val="24"/>
    </w:rPr>
  </w:style>
  <w:style w:type="paragraph" w:styleId="1286" w:customStyle="1">
    <w:name w:val="xl40"/>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7" w:customStyle="1">
    <w:name w:val="样式 样式 标题 3H3sect1.2.3BOD 0Heading 3 - oldh3l3CTLevel 3 Head... +..."/>
    <w:basedOn w:val="772"/>
    <w:uiPriority w:val="0"/>
    <w:qFormat/>
    <w:pPr>
      <w:jc w:val="left"/>
      <w:keepLines/>
      <w:keepNext/>
      <w:spacing w:before="156" w:after="156"/>
      <w:outlineLvl w:val="2"/>
    </w:pPr>
    <w:rPr>
      <w:rFonts w:cs="宋体"/>
      <w:b/>
      <w:bCs/>
      <w:sz w:val="24"/>
    </w:rPr>
  </w:style>
  <w:style w:type="paragraph" w:styleId="1288" w:customStyle="1">
    <w:name w:val="Char Char"/>
    <w:basedOn w:val="772"/>
    <w:uiPriority w:val="0"/>
    <w:qFormat/>
    <w:rPr>
      <w:rFonts w:ascii="Tahoma" w:hAnsi="Tahoma" w:cs="Tahoma"/>
      <w:sz w:val="24"/>
    </w:rPr>
  </w:style>
  <w:style w:type="paragraph" w:styleId="1289" w:customStyle="1">
    <w:name w:val=" Char"/>
    <w:basedOn w:val="772"/>
    <w:uiPriority w:val="0"/>
    <w:qFormat/>
    <w:pPr>
      <w:spacing w:after="156" w:line="360" w:lineRule="auto"/>
    </w:pPr>
    <w:rPr>
      <w:rFonts w:ascii="Tahoma" w:hAnsi="Tahoma"/>
      <w:sz w:val="24"/>
    </w:rPr>
  </w:style>
  <w:style w:type="paragraph" w:styleId="1290" w:customStyle="1">
    <w:name w:val="xl29"/>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1" w:customStyle="1">
    <w:name w:val="标题6"/>
    <w:basedOn w:val="1008"/>
    <w:uiPriority w:val="0"/>
    <w:qFormat/>
    <w:pPr>
      <w:numPr>
        <w:ilvl w:val="0"/>
        <w:numId w:val="2"/>
      </w:numPr>
      <w:keepLines/>
    </w:pPr>
    <w:rPr>
      <w:rFonts w:ascii="Times New Roman"/>
      <w:b w:val="0"/>
      <w:bCs/>
      <w:color w:val="000000"/>
      <w:sz w:val="24"/>
      <w:szCs w:val="28"/>
    </w:rPr>
  </w:style>
  <w:style w:type="paragraph" w:styleId="1292" w:customStyle="1">
    <w:name w:val="纯文本1"/>
    <w:basedOn w:val="772"/>
    <w:uiPriority w:val="0"/>
    <w:qFormat/>
    <w:rPr>
      <w:rFonts w:ascii="宋体" w:hAnsi="宋体" w:eastAsia="楷体_GB2312" w:cs="宋体"/>
      <w:sz w:val="28"/>
    </w:rPr>
  </w:style>
  <w:style w:type="paragraph" w:styleId="1293" w:customStyle="1">
    <w:name w:val="xl36"/>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4" w:customStyle="1">
    <w:name w:val="tableau"/>
    <w:basedOn w:val="772"/>
    <w:uiPriority w:val="0"/>
    <w:qFormat/>
    <w:pPr>
      <w:jc w:val="center"/>
      <w:spacing w:before="20" w:after="20"/>
      <w:widowControl/>
    </w:pPr>
    <w:rPr>
      <w:rFonts w:ascii="Arial" w:hAnsi="Arial"/>
      <w:sz w:val="16"/>
      <w:lang w:val="en-GB" w:eastAsia="en-US"/>
    </w:rPr>
  </w:style>
  <w:style w:type="paragraph" w:styleId="1295" w:customStyle="1">
    <w:name w:val=" Char Char Char Char Char Char Char Char Char Char Char Char Char"/>
    <w:basedOn w:val="1026"/>
    <w:uiPriority w:val="0"/>
    <w:qFormat/>
    <w:rPr>
      <w:rFonts w:ascii="Tahoma" w:hAnsi="Tahoma"/>
      <w:sz w:val="24"/>
      <w:szCs w:val="24"/>
    </w:rPr>
  </w:style>
  <w:style w:type="paragraph" w:styleId="1296" w:customStyle="1">
    <w:name w:val="正文--表格内正文"/>
    <w:basedOn w:val="772"/>
    <w:uiPriority w:val="0"/>
    <w:qFormat/>
    <w:pPr>
      <w:jc w:val="center"/>
      <w:spacing w:before="156" w:line="0" w:lineRule="atLeast"/>
    </w:pPr>
    <w:rPr>
      <w:rFonts w:ascii="宋体" w:hAnsi="宋体"/>
      <w:color w:val="000000"/>
      <w:sz w:val="24"/>
      <w:szCs w:val="24"/>
    </w:rPr>
  </w:style>
  <w:style w:type="paragraph" w:styleId="1297" w:customStyle="1">
    <w:name w:val=" Char Char Char Char Char"/>
    <w:basedOn w:val="772"/>
    <w:uiPriority w:val="0"/>
    <w:qFormat/>
    <w:rPr>
      <w:rFonts w:ascii="Tahoma" w:hAnsi="Tahoma"/>
      <w:sz w:val="24"/>
    </w:rPr>
  </w:style>
  <w:style w:type="paragraph" w:styleId="1298" w:customStyle="1">
    <w:name w:val="xl37"/>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99" w:customStyle="1">
    <w:name w:val="Bullets L1"/>
    <w:basedOn w:val="772"/>
    <w:uiPriority w:val="0"/>
    <w:qFormat/>
    <w:pPr>
      <w:numPr>
        <w:ilvl w:val="0"/>
        <w:numId w:val="4"/>
      </w:numPr>
      <w:jc w:val="left"/>
      <w:spacing w:before="60" w:after="60"/>
      <w:widowControl/>
    </w:pPr>
    <w:rPr>
      <w:rFonts w:ascii="Arial" w:hAnsi="Arial"/>
      <w:sz w:val="20"/>
    </w:rPr>
  </w:style>
  <w:style w:type="paragraph" w:styleId="1300" w:customStyle="1">
    <w:name w:val=" Char Char1"/>
    <w:basedOn w:val="772"/>
    <w:uiPriority w:val="0"/>
    <w:qFormat/>
    <w:rPr>
      <w:rFonts w:ascii="Tahoma" w:hAnsi="Tahoma"/>
      <w:sz w:val="24"/>
    </w:rPr>
  </w:style>
  <w:style w:type="paragraph" w:styleId="1301" w:customStyle="1">
    <w:name w:val="小四 段落 宋体 Char Char Char"/>
    <w:basedOn w:val="1024"/>
    <w:uiPriority w:val="0"/>
    <w:qFormat/>
    <w:pPr>
      <w:ind w:left="0" w:right="-33" w:firstLine="545"/>
      <w:jc w:val="left"/>
      <w:spacing w:line="360" w:lineRule="auto"/>
      <w:tabs>
        <w:tab w:val="clear" w:pos="2952" w:leader="none"/>
      </w:tabs>
    </w:pPr>
    <w:rPr>
      <w:sz w:val="24"/>
    </w:rPr>
  </w:style>
  <w:style w:type="paragraph" w:styleId="1302" w:customStyle="1">
    <w:name w:val="xl55"/>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03" w:customStyle="1">
    <w:name w:val="xl58"/>
    <w:basedOn w:val="772"/>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04" w:customStyle="1">
    <w:name w:val="标题4，章节第四层"/>
    <w:basedOn w:val="772"/>
    <w:next w:val="772"/>
    <w:uiPriority w:val="0"/>
    <w:qFormat/>
    <w:pPr>
      <w:spacing w:line="360" w:lineRule="auto"/>
      <w:tabs>
        <w:tab w:val="left" w:pos="0" w:leader="none"/>
      </w:tabs>
      <w:outlineLvl w:val="3"/>
    </w:pPr>
    <w:rPr>
      <w:rFonts w:ascii="宋体" w:hAnsi="宋体"/>
      <w:b/>
      <w:sz w:val="24"/>
      <w:szCs w:val="24"/>
    </w:rPr>
  </w:style>
  <w:style w:type="paragraph" w:styleId="1305" w:customStyle="1">
    <w:name w:val="Char Char Char Char Char Char Char Char Char Char Char Char Char Char Char Char Char Char Char Char Char"/>
    <w:basedOn w:val="772"/>
    <w:uiPriority w:val="0"/>
    <w:qFormat/>
    <w:rPr>
      <w:rFonts w:ascii="Tahoma" w:hAnsi="Tahoma" w:cs="Tahoma"/>
      <w:sz w:val="24"/>
    </w:rPr>
  </w:style>
  <w:style w:type="paragraph" w:styleId="1306" w:customStyle="1">
    <w:name w:val="xl54"/>
    <w:basedOn w:val="77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307"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308" w:customStyle="1">
    <w:name w:val="Default Text"/>
    <w:basedOn w:val="772"/>
    <w:uiPriority w:val="0"/>
    <w:qFormat/>
    <w:pPr>
      <w:jc w:val="left"/>
      <w:widowControl/>
    </w:pPr>
    <w:rPr>
      <w:sz w:val="24"/>
      <w:lang w:eastAsia="en-US"/>
    </w:rPr>
  </w:style>
  <w:style w:type="paragraph" w:styleId="1309" w:customStyle="1">
    <w:name w:val="flType"/>
    <w:basedOn w:val="1242"/>
    <w:uiPriority w:val="0"/>
    <w:qFormat/>
    <w:pPr>
      <w:spacing w:after="284"/>
    </w:pPr>
    <w:rPr>
      <w:rFonts w:eastAsia="宋体"/>
    </w:rPr>
  </w:style>
  <w:style w:type="paragraph" w:styleId="1310" w:customStyle="1">
    <w:name w:val="正文 首行缩进:  2 字符 Char"/>
    <w:basedOn w:val="772"/>
    <w:uiPriority w:val="0"/>
    <w:qFormat/>
    <w:pPr>
      <w:ind w:firstLine="480"/>
      <w:spacing w:line="360" w:lineRule="auto"/>
    </w:pPr>
    <w:rPr>
      <w:rFonts w:cs="宋体"/>
      <w:sz w:val="24"/>
    </w:rPr>
  </w:style>
  <w:style w:type="paragraph" w:styleId="1311" w:customStyle="1">
    <w:name w:val="xl46"/>
    <w:basedOn w:val="77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12" w:customStyle="1">
    <w:name w:val="表格内文字"/>
    <w:basedOn w:val="772"/>
    <w:uiPriority w:val="0"/>
    <w:qFormat/>
    <w:pPr>
      <w:spacing w:line="300" w:lineRule="atLeast"/>
    </w:pPr>
    <w:rPr>
      <w:sz w:val="18"/>
      <w:szCs w:val="24"/>
    </w:rPr>
  </w:style>
  <w:style w:type="paragraph" w:styleId="1313" w:customStyle="1">
    <w:name w:val=" Char Char Char Char"/>
    <w:basedOn w:val="772"/>
    <w:uiPriority w:val="0"/>
    <w:qFormat/>
    <w:pPr>
      <w:jc w:val="center"/>
      <w:spacing w:after="160" w:line="240" w:lineRule="exact"/>
      <w:widowControl/>
    </w:pPr>
    <w:rPr>
      <w:rFonts w:ascii="黑体" w:hAnsi="Verdana" w:eastAsia="黑体"/>
      <w:sz w:val="32"/>
      <w:szCs w:val="32"/>
      <w:lang w:eastAsia="en-US"/>
    </w:rPr>
  </w:style>
  <w:style w:type="paragraph" w:styleId="1314" w:customStyle="1">
    <w:name w:val="font13"/>
    <w:basedOn w:val="772"/>
    <w:uiPriority w:val="0"/>
    <w:qFormat/>
    <w:pPr>
      <w:jc w:val="left"/>
      <w:spacing w:before="100" w:beforeAutospacing="1" w:after="100" w:afterAutospacing="1"/>
      <w:widowControl/>
    </w:pPr>
    <w:rPr>
      <w:i/>
      <w:iCs/>
      <w:sz w:val="36"/>
      <w:szCs w:val="36"/>
    </w:rPr>
  </w:style>
  <w:style w:type="paragraph" w:styleId="1315" w:customStyle="1">
    <w:name w:val="xl60"/>
    <w:basedOn w:val="77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16" w:customStyle="1">
    <w:name w:val="标准小四"/>
    <w:basedOn w:val="772"/>
    <w:uiPriority w:val="0"/>
    <w:qFormat/>
    <w:pPr>
      <w:ind w:firstLine="480"/>
      <w:spacing w:line="360" w:lineRule="auto"/>
    </w:pPr>
    <w:rPr>
      <w:rFonts w:ascii="Arial" w:hAnsi="Arial"/>
      <w:sz w:val="24"/>
      <w:szCs w:val="21"/>
    </w:rPr>
  </w:style>
  <w:style w:type="paragraph" w:styleId="1317" w:customStyle="1">
    <w:name w:val="小四 段落 宋体"/>
    <w:basedOn w:val="1024"/>
    <w:uiPriority w:val="0"/>
    <w:qFormat/>
    <w:pPr>
      <w:ind w:left="113" w:right="113" w:firstLine="425"/>
      <w:jc w:val="left"/>
      <w:spacing w:line="360" w:lineRule="auto"/>
      <w:tabs>
        <w:tab w:val="clear" w:pos="2952" w:leader="none"/>
      </w:tabs>
    </w:pPr>
    <w:rPr>
      <w:sz w:val="24"/>
    </w:rPr>
  </w:style>
  <w:style w:type="paragraph" w:styleId="1318" w:customStyle="1">
    <w:name w:val="一级标题"/>
    <w:basedOn w:val="772"/>
    <w:uiPriority w:val="0"/>
    <w:qFormat/>
    <w:pPr>
      <w:ind w:left="900" w:hanging="420"/>
      <w:spacing w:line="360" w:lineRule="auto"/>
      <w:tabs>
        <w:tab w:val="left" w:pos="903" w:leader="none"/>
      </w:tabs>
    </w:pPr>
    <w:rPr>
      <w:rFonts w:ascii="Arial" w:hAnsi="Arial" w:cs="Arial"/>
      <w:sz w:val="24"/>
    </w:rPr>
  </w:style>
  <w:style w:type="paragraph" w:styleId="1319" w:customStyle="1">
    <w:name w:val="标题 4宋体"/>
    <w:basedOn w:val="1006"/>
    <w:uiPriority w:val="0"/>
    <w:qFormat/>
    <w:pPr>
      <w:jc w:val="left"/>
      <w:keepLines w:val="0"/>
      <w:spacing w:before="0" w:after="0" w:line="360" w:lineRule="auto"/>
    </w:pPr>
    <w:rPr>
      <w:rFonts w:ascii="宋体" w:hAnsi="宋体" w:eastAsia="宋体"/>
      <w:bCs/>
      <w:color w:val="000000"/>
      <w:sz w:val="24"/>
    </w:rPr>
  </w:style>
  <w:style w:type="paragraph" w:styleId="1320" w:customStyle="1">
    <w:name w:val="条1"/>
    <w:basedOn w:val="772"/>
    <w:uiPriority w:val="0"/>
    <w:qFormat/>
    <w:pPr>
      <w:ind w:left="780" w:hanging="360"/>
      <w:spacing w:before="156" w:line="360" w:lineRule="auto"/>
      <w:tabs>
        <w:tab w:val="left" w:pos="780" w:leader="none"/>
      </w:tabs>
    </w:pPr>
    <w:rPr>
      <w:rFonts w:eastAsia="黑体"/>
      <w:sz w:val="24"/>
    </w:rPr>
  </w:style>
  <w:style w:type="paragraph" w:styleId="1321" w:customStyle="1">
    <w:name w:val="Char Char1"/>
    <w:basedOn w:val="772"/>
    <w:uiPriority w:val="0"/>
    <w:qFormat/>
    <w:rPr>
      <w:rFonts w:ascii="Tahoma" w:hAnsi="Tahoma" w:cs="Tahoma"/>
      <w:sz w:val="24"/>
    </w:rPr>
  </w:style>
  <w:style w:type="paragraph" w:styleId="1322">
    <w:name w:val="List Paragraph"/>
    <w:basedOn w:val="772"/>
    <w:uiPriority w:val="0"/>
    <w:qFormat/>
    <w:pPr>
      <w:contextualSpacing/>
      <w:ind w:left="720"/>
      <w:jc w:val="left"/>
      <w:widowControl/>
    </w:pPr>
    <w:rPr>
      <w:rFonts w:ascii="Arial" w:hAnsi="Arial" w:eastAsia="黑体"/>
      <w:sz w:val="24"/>
      <w:szCs w:val="24"/>
      <w:lang w:eastAsia="en-US"/>
    </w:rPr>
  </w:style>
  <w:style w:type="paragraph" w:styleId="1323" w:customStyle="1">
    <w:name w:val="xl27"/>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4" w:customStyle="1">
    <w:name w:val="表头_5"/>
    <w:basedOn w:val="772"/>
    <w:uiPriority w:val="0"/>
    <w:qFormat/>
    <w:pPr>
      <w:spacing w:line="360" w:lineRule="auto"/>
    </w:pPr>
    <w:rPr>
      <w:b/>
      <w:bCs/>
      <w:sz w:val="28"/>
      <w:szCs w:val="21"/>
    </w:rPr>
  </w:style>
  <w:style w:type="paragraph" w:styleId="1325" w:customStyle="1">
    <w:name w:val="xl25"/>
    <w:basedOn w:val="772"/>
    <w:uiPriority w:val="0"/>
    <w:qFormat/>
    <w:pPr>
      <w:jc w:val="center"/>
      <w:spacing w:before="100" w:beforeAutospacing="1" w:after="100" w:afterAutospacing="1"/>
      <w:widowControl/>
      <w:pBdr>
        <w:right w:val="single" w:color="000000" w:sz="4" w:space="0"/>
      </w:pBdr>
    </w:pPr>
    <w:rPr>
      <w:szCs w:val="21"/>
    </w:rPr>
  </w:style>
  <w:style w:type="paragraph" w:styleId="1326" w:customStyle="1">
    <w:name w:val=" Char Char Char Char Char Char Char Char Char Char Char Char Char Char Char Char Char Char Char Char Char Char Char"/>
    <w:basedOn w:val="772"/>
    <w:uiPriority w:val="0"/>
    <w:qFormat/>
    <w:rPr>
      <w:rFonts w:ascii="Tahoma" w:hAnsi="Tahoma"/>
      <w:sz w:val="24"/>
    </w:rPr>
  </w:style>
  <w:style w:type="paragraph" w:styleId="132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28" w:customStyle="1">
    <w:name w:val="greytypebeni"/>
    <w:basedOn w:val="772"/>
    <w:uiPriority w:val="0"/>
    <w:qFormat/>
    <w:pPr>
      <w:jc w:val="left"/>
      <w:widowControl/>
    </w:pPr>
    <w:rPr>
      <w:rFonts w:ascii="宋体" w:hAnsi="宋体" w:cs="宋体"/>
      <w:sz w:val="24"/>
      <w:szCs w:val="24"/>
    </w:rPr>
  </w:style>
  <w:style w:type="paragraph" w:styleId="1329" w:customStyle="1">
    <w:name w:val="Char Char Char Char Char Char Char Char Char Char Char Char Char"/>
    <w:basedOn w:val="772"/>
    <w:uiPriority w:val="0"/>
    <w:qFormat/>
    <w:pPr>
      <w:jc w:val="left"/>
      <w:spacing w:after="160" w:line="240" w:lineRule="exact"/>
      <w:widowControl/>
    </w:pPr>
    <w:rPr>
      <w:szCs w:val="24"/>
    </w:rPr>
  </w:style>
  <w:style w:type="paragraph" w:styleId="1330" w:customStyle="1">
    <w:name w:val="列表内容"/>
    <w:basedOn w:val="772"/>
    <w:next w:val="772"/>
    <w:uiPriority w:val="0"/>
    <w:qFormat/>
    <w:pPr>
      <w:ind w:left="840" w:hanging="420"/>
      <w:jc w:val="left"/>
      <w:widowControl/>
      <w:tabs>
        <w:tab w:val="left" w:pos="840" w:leader="none"/>
      </w:tabs>
    </w:pPr>
    <w:rPr>
      <w:sz w:val="18"/>
      <w:szCs w:val="24"/>
    </w:rPr>
  </w:style>
  <w:style w:type="paragraph" w:styleId="1331" w:customStyle="1">
    <w:name w:val="样式 段后: 0.25 行"/>
    <w:basedOn w:val="772"/>
    <w:uiPriority w:val="0"/>
    <w:qFormat/>
    <w:pPr>
      <w:ind w:firstLine="420"/>
      <w:jc w:val="left"/>
      <w:spacing w:after="78" w:line="300" w:lineRule="auto"/>
      <w:widowControl/>
    </w:pPr>
    <w:rPr>
      <w:rFonts w:ascii="Arial" w:hAnsi="Arial" w:cs="宋体"/>
      <w:sz w:val="22"/>
      <w:lang w:eastAsia="en-US" w:bidi="en-US"/>
    </w:rPr>
  </w:style>
  <w:style w:type="paragraph" w:styleId="1332" w:customStyle="1">
    <w:name w:val="xl59"/>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33" w:customStyle="1">
    <w:name w:val="小四 段落 宋体 Char"/>
    <w:basedOn w:val="1024"/>
    <w:uiPriority w:val="0"/>
    <w:qFormat/>
    <w:pPr>
      <w:ind w:left="0" w:right="-33" w:firstLine="600"/>
      <w:jc w:val="left"/>
      <w:tabs>
        <w:tab w:val="clear" w:pos="2952" w:leader="none"/>
      </w:tabs>
    </w:pPr>
    <w:rPr>
      <w:rFonts w:ascii="仿宋_GB2312" w:eastAsia="仿宋_GB2312"/>
      <w:sz w:val="30"/>
      <w:szCs w:val="30"/>
    </w:rPr>
  </w:style>
  <w:style w:type="paragraph" w:styleId="1334" w:customStyle="1">
    <w:name w:val="Char Char1 Char Char Char Char"/>
    <w:basedOn w:val="1026"/>
    <w:uiPriority w:val="0"/>
    <w:qFormat/>
    <w:pPr>
      <w:ind w:left="357"/>
      <w:jc w:val="left"/>
      <w:spacing w:line="436" w:lineRule="exact"/>
      <w:outlineLvl w:val="3"/>
    </w:pPr>
    <w:rPr>
      <w:rFonts w:ascii="Tahoma" w:hAnsi="Tahoma" w:cs="Tahoma"/>
      <w:b/>
      <w:sz w:val="24"/>
      <w:szCs w:val="24"/>
    </w:rPr>
  </w:style>
  <w:style w:type="paragraph" w:styleId="1335" w:customStyle="1">
    <w:name w:val="项目符号，一级"/>
    <w:basedOn w:val="1173"/>
    <w:next w:val="1173"/>
    <w:uiPriority w:val="0"/>
    <w:qFormat/>
    <w:pPr>
      <w:ind w:left="376" w:firstLine="0"/>
      <w:spacing w:line="240" w:lineRule="atLeast"/>
      <w:tabs>
        <w:tab w:val="left" w:pos="1320" w:leader="none"/>
      </w:tabs>
    </w:pPr>
    <w:rPr>
      <w:bCs w:val="0"/>
      <w:color w:val="000000"/>
      <w:szCs w:val="24"/>
    </w:rPr>
  </w:style>
  <w:style w:type="paragraph" w:styleId="1336" w:customStyle="1">
    <w:name w:val="Char Char Char Char Char Char Char Char Char Char Char"/>
    <w:basedOn w:val="772"/>
    <w:uiPriority w:val="0"/>
    <w:qFormat/>
    <w:rPr>
      <w:rFonts w:ascii="Tahoma" w:hAnsi="Tahoma" w:cs="Tahoma"/>
      <w:sz w:val="24"/>
    </w:rPr>
  </w:style>
  <w:style w:type="paragraph" w:styleId="1337" w:customStyle="1">
    <w:name w:val="标题2，章节第二层"/>
    <w:basedOn w:val="772"/>
    <w:next w:val="1173"/>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338" w:customStyle="1">
    <w:name w:val="Char Char Char Char Char Char Char Char Char Char Char Char Char Char"/>
    <w:basedOn w:val="772"/>
    <w:uiPriority w:val="0"/>
    <w:qFormat/>
    <w:rPr>
      <w:rFonts w:ascii="Tahoma" w:hAnsi="Tahoma" w:cs="Tahoma"/>
      <w:sz w:val="24"/>
    </w:rPr>
  </w:style>
  <w:style w:type="paragraph" w:styleId="1339" w:customStyle="1">
    <w:name w:val="xl48"/>
    <w:basedOn w:val="7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40" w:customStyle="1">
    <w:name w:val="表格文字"/>
    <w:basedOn w:val="772"/>
    <w:uiPriority w:val="0"/>
    <w:qFormat/>
    <w:pPr>
      <w:ind w:firstLine="200"/>
      <w:jc w:val="left"/>
      <w:spacing w:line="360" w:lineRule="auto"/>
    </w:pPr>
    <w:rPr>
      <w:rFonts w:ascii="Arial" w:hAnsi="Arial"/>
      <w:sz w:val="24"/>
    </w:rPr>
  </w:style>
  <w:style w:type="paragraph" w:styleId="1341" w:customStyle="1">
    <w:name w:val=" Char Char Char Char Char Char Char Char Char"/>
    <w:basedOn w:val="772"/>
    <w:uiPriority w:val="0"/>
    <w:qFormat/>
    <w:pPr>
      <w:ind w:left="360" w:hanging="360"/>
      <w:tabs>
        <w:tab w:val="left" w:pos="360" w:leader="none"/>
      </w:tabs>
    </w:pPr>
    <w:rPr>
      <w:sz w:val="24"/>
      <w:szCs w:val="24"/>
    </w:rPr>
  </w:style>
  <w:style w:type="paragraph" w:styleId="1342" w:customStyle="1">
    <w:name w:val="二级目录"/>
    <w:next w:val="772"/>
    <w:uiPriority w:val="0"/>
    <w:qFormat/>
    <w:pPr>
      <w:tabs>
        <w:tab w:val="left" w:pos="360" w:leader="none"/>
        <w:tab w:val="left" w:pos="1145" w:leader="none"/>
      </w:tabs>
      <w:outlineLvl w:val="1"/>
    </w:pPr>
    <w:rPr>
      <w:rFonts w:hint="default" w:ascii="Calibri" w:hAnsi="Calibri" w:eastAsia="宋体" w:cs="Times New Roman"/>
      <w:b/>
      <w:sz w:val="30"/>
      <w:szCs w:val="28"/>
      <w:lang w:val="en-US" w:eastAsia="zh-CN" w:bidi="ar-SA"/>
    </w:rPr>
  </w:style>
  <w:style w:type="paragraph" w:styleId="1343" w:customStyle="1">
    <w:name w:val=" Char Char Char Char Char Char Char Char Char Char Char"/>
    <w:basedOn w:val="772"/>
    <w:uiPriority w:val="0"/>
    <w:qFormat/>
    <w:rPr>
      <w:rFonts w:ascii="Tahoma" w:hAnsi="Tahoma"/>
      <w:sz w:val="24"/>
    </w:rPr>
  </w:style>
  <w:style w:type="paragraph" w:styleId="1344" w:customStyle="1">
    <w:name w:val="Char Char1 Char"/>
    <w:basedOn w:val="772"/>
    <w:uiPriority w:val="0"/>
    <w:qFormat/>
    <w:pPr>
      <w:jc w:val="left"/>
      <w:spacing w:after="160" w:line="240" w:lineRule="exact"/>
      <w:widowControl/>
    </w:pPr>
    <w:rPr>
      <w:rFonts w:ascii="Verdana" w:hAnsi="Verdana"/>
      <w:sz w:val="20"/>
      <w:lang w:eastAsia="en-US"/>
    </w:rPr>
  </w:style>
  <w:style w:type="paragraph" w:styleId="1345" w:customStyle="1">
    <w:name w:val="我的正文"/>
    <w:basedOn w:val="772"/>
    <w:uiPriority w:val="0"/>
    <w:qFormat/>
    <w:pPr>
      <w:ind w:firstLine="420"/>
      <w:jc w:val="left"/>
      <w:spacing w:line="360" w:lineRule="auto"/>
      <w:widowControl/>
    </w:pPr>
    <w:rPr>
      <w:rFonts w:ascii="宋体" w:hAnsi="宋体" w:cs="宋体"/>
      <w:szCs w:val="21"/>
    </w:rPr>
  </w:style>
  <w:style w:type="paragraph" w:styleId="1346" w:customStyle="1">
    <w:name w:val="大标题"/>
    <w:basedOn w:val="772"/>
    <w:next w:val="772"/>
    <w:uiPriority w:val="0"/>
    <w:qFormat/>
    <w:pPr>
      <w:ind w:hanging="420"/>
      <w:pageBreakBefore/>
      <w:spacing w:line="360" w:lineRule="auto"/>
      <w:tabs>
        <w:tab w:val="left" w:pos="420" w:leader="none"/>
      </w:tabs>
      <w:outlineLvl w:val="0"/>
    </w:pPr>
    <w:rPr>
      <w:b/>
      <w:iCs/>
      <w:sz w:val="44"/>
      <w:szCs w:val="24"/>
    </w:rPr>
  </w:style>
  <w:style w:type="paragraph" w:styleId="1347" w:customStyle="1">
    <w:name w:val=" Char Char Char Char Char Char Char"/>
    <w:basedOn w:val="772"/>
    <w:uiPriority w:val="0"/>
    <w:qFormat/>
    <w:rPr>
      <w:rFonts w:ascii="Tahoma" w:hAnsi="Tahoma"/>
      <w:sz w:val="24"/>
    </w:rPr>
  </w:style>
  <w:style w:type="paragraph" w:styleId="1348" w:customStyle="1">
    <w:name w:val="正文 居中"/>
    <w:basedOn w:val="772"/>
    <w:uiPriority w:val="0"/>
    <w:qFormat/>
    <w:pPr>
      <w:jc w:val="center"/>
      <w:spacing w:line="360" w:lineRule="auto"/>
    </w:pPr>
    <w:rPr>
      <w:sz w:val="24"/>
    </w:rPr>
  </w:style>
  <w:style w:type="paragraph" w:styleId="1349" w:customStyle="1">
    <w:name w:val="xl50"/>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50" w:customStyle="1">
    <w:name w:val="xl34"/>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51" w:customStyle="1">
    <w:name w:val="xl49"/>
    <w:basedOn w:val="772"/>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352" w:customStyle="1">
    <w:name w:val="部分1"/>
    <w:basedOn w:val="772"/>
    <w:uiPriority w:val="0"/>
    <w:qFormat/>
    <w:pPr>
      <w:jc w:val="center"/>
      <w:keepNext/>
      <w:pageBreakBefore/>
      <w:spacing w:line="360" w:lineRule="auto"/>
      <w:tabs>
        <w:tab w:val="left" w:pos="360" w:leader="none"/>
      </w:tabs>
      <w:outlineLvl w:val="0"/>
    </w:pPr>
    <w:rPr>
      <w:rFonts w:eastAsia="黑体"/>
      <w:b/>
      <w:sz w:val="36"/>
    </w:rPr>
  </w:style>
  <w:style w:type="paragraph" w:styleId="1353" w:customStyle="1">
    <w:name w:val="xl53"/>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54" w:customStyle="1">
    <w:name w:val="xl24"/>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5" w:customStyle="1">
    <w:name w:val="样式 样式 首行缩进:  0.74 厘米 行距: 1.5 倍行距 + 段后: 0.5 行"/>
    <w:basedOn w:val="772"/>
    <w:uiPriority w:val="0"/>
    <w:qFormat/>
    <w:pPr>
      <w:ind w:firstLine="420"/>
      <w:spacing w:line="360" w:lineRule="auto"/>
    </w:pPr>
    <w:rPr>
      <w:rFonts w:ascii="楷体_GB2312" w:eastAsia="楷体_GB2312"/>
      <w:bCs/>
      <w:sz w:val="24"/>
    </w:rPr>
  </w:style>
  <w:style w:type="paragraph" w:styleId="1356" w:customStyle="1">
    <w:name w:val="Body Text 21"/>
    <w:basedOn w:val="772"/>
    <w:uiPriority w:val="0"/>
    <w:qFormat/>
    <w:pPr>
      <w:ind w:left="720" w:hanging="720"/>
      <w:widowControl/>
    </w:pPr>
    <w:rPr>
      <w:sz w:val="24"/>
      <w:lang w:val="en-GB"/>
    </w:rPr>
  </w:style>
  <w:style w:type="paragraph" w:styleId="1357" w:customStyle="1">
    <w:name w:val="Normal11"/>
    <w:basedOn w:val="772"/>
    <w:uiPriority w:val="0"/>
    <w:qFormat/>
    <w:rPr>
      <w:rFonts w:ascii="Calibri" w:hAnsi="Calibri" w:eastAsia="Calibri" w:cs="宋体"/>
      <w:lang w:val="zh-CN"/>
    </w:rPr>
  </w:style>
  <w:style w:type="paragraph" w:styleId="1358" w:customStyle="1">
    <w:name w:val="Char"/>
    <w:basedOn w:val="772"/>
    <w:uiPriority w:val="0"/>
    <w:semiHidden/>
    <w:qFormat/>
    <w:rPr>
      <w:rFonts w:ascii="Tahoma" w:hAnsi="Tahoma" w:cs="仿宋_GB2312"/>
      <w:sz w:val="24"/>
      <w:szCs w:val="28"/>
    </w:rPr>
  </w:style>
  <w:style w:type="paragraph" w:styleId="1359" w:customStyle="1">
    <w:name w:val="content_lineheight"/>
    <w:basedOn w:val="772"/>
    <w:uiPriority w:val="0"/>
    <w:qFormat/>
    <w:pPr>
      <w:jc w:val="left"/>
      <w:spacing w:before="100" w:beforeAutospacing="1" w:after="100" w:afterAutospacing="1"/>
      <w:widowControl/>
    </w:pPr>
    <w:rPr>
      <w:rFonts w:ascii="宋体" w:hAnsi="宋体"/>
      <w:sz w:val="24"/>
      <w:szCs w:val="24"/>
    </w:rPr>
  </w:style>
  <w:style w:type="paragraph" w:styleId="1360" w:customStyle="1">
    <w:name w:val="样式 样式 首行缩进:  2 字符 + 行距: 1.5 倍行距"/>
    <w:basedOn w:val="772"/>
    <w:uiPriority w:val="0"/>
    <w:qFormat/>
    <w:pPr>
      <w:ind w:firstLine="470"/>
      <w:spacing w:line="360" w:lineRule="auto"/>
    </w:pPr>
    <w:rPr>
      <w:sz w:val="24"/>
    </w:rPr>
  </w:style>
  <w:style w:type="paragraph" w:styleId="1361" w:customStyle="1">
    <w:name w:val="符号与编号 Char Char"/>
    <w:basedOn w:val="772"/>
    <w:uiPriority w:val="0"/>
    <w:qFormat/>
    <w:pPr>
      <w:ind w:left="839" w:hanging="419"/>
      <w:spacing w:after="156" w:line="400" w:lineRule="atLeast"/>
      <w:tabs>
        <w:tab w:val="left" w:pos="840" w:leader="none"/>
      </w:tabs>
    </w:pPr>
    <w:rPr>
      <w:sz w:val="24"/>
      <w:szCs w:val="24"/>
    </w:rPr>
  </w:style>
  <w:style w:type="paragraph" w:styleId="1362" w:customStyle="1">
    <w:name w:val="正文lzq"/>
    <w:basedOn w:val="772"/>
    <w:uiPriority w:val="0"/>
    <w:qFormat/>
    <w:pPr>
      <w:ind w:firstLine="480"/>
      <w:spacing w:line="360" w:lineRule="auto"/>
    </w:pPr>
    <w:rPr>
      <w:sz w:val="24"/>
    </w:rPr>
  </w:style>
  <w:style w:type="paragraph" w:styleId="1363" w:customStyle="1">
    <w:name w:val="段落"/>
    <w:basedOn w:val="772"/>
    <w:uiPriority w:val="0"/>
    <w:qFormat/>
    <w:pPr>
      <w:ind w:firstLine="480"/>
      <w:spacing w:line="460" w:lineRule="exact"/>
    </w:pPr>
    <w:rPr>
      <w:sz w:val="24"/>
    </w:rPr>
  </w:style>
  <w:style w:type="paragraph" w:styleId="1364" w:customStyle="1">
    <w:name w:val="_Style 42"/>
    <w:basedOn w:val="772"/>
    <w:next w:val="1033"/>
    <w:uiPriority w:val="0"/>
    <w:qFormat/>
    <w:rPr>
      <w:rFonts w:ascii="楷体_GB2312" w:hAnsi="Arial" w:eastAsia="楷体_GB2312"/>
      <w:sz w:val="28"/>
    </w:rPr>
  </w:style>
  <w:style w:type="paragraph" w:styleId="1365" w:customStyle="1">
    <w:name w:val=" Char Char Char Char Char Char Char Char"/>
    <w:basedOn w:val="772"/>
    <w:uiPriority w:val="0"/>
    <w:qFormat/>
    <w:rPr>
      <w:rFonts w:ascii="Tahoma" w:hAnsi="Tahoma"/>
      <w:sz w:val="24"/>
    </w:rPr>
  </w:style>
  <w:style w:type="paragraph" w:styleId="1366" w:customStyle="1">
    <w:name w:val=" Char1 Char Char Char"/>
    <w:basedOn w:val="772"/>
    <w:uiPriority w:val="0"/>
    <w:qFormat/>
    <w:rPr>
      <w:rFonts w:ascii="Tahoma" w:hAnsi="Tahoma"/>
      <w:sz w:val="24"/>
    </w:rPr>
  </w:style>
  <w:style w:type="paragraph" w:styleId="136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68" w:customStyle="1">
    <w:name w:val="xl56"/>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69" w:customStyle="1">
    <w:name w:val="font14"/>
    <w:basedOn w:val="772"/>
    <w:uiPriority w:val="0"/>
    <w:qFormat/>
    <w:pPr>
      <w:jc w:val="left"/>
      <w:spacing w:before="100" w:beforeAutospacing="1" w:after="100" w:afterAutospacing="1"/>
      <w:widowControl/>
    </w:pPr>
    <w:rPr>
      <w:sz w:val="36"/>
      <w:szCs w:val="36"/>
    </w:rPr>
  </w:style>
  <w:style w:type="paragraph" w:styleId="1370" w:customStyle="1">
    <w:name w:val="xl26"/>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71" w:customStyle="1">
    <w:name w:val="Char Char Char Char Char"/>
    <w:basedOn w:val="772"/>
    <w:uiPriority w:val="0"/>
    <w:qFormat/>
    <w:rPr>
      <w:rFonts w:ascii="Tahoma" w:hAnsi="Tahoma" w:cs="Tahoma"/>
      <w:sz w:val="24"/>
    </w:rPr>
  </w:style>
  <w:style w:type="paragraph" w:styleId="1372" w:customStyle="1">
    <w:name w:val="xl44"/>
    <w:basedOn w:val="7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73" w:customStyle="1">
    <w:name w:val="7"/>
    <w:basedOn w:val="772"/>
    <w:next w:val="1070"/>
    <w:uiPriority w:val="0"/>
    <w:qFormat/>
    <w:pPr>
      <w:jc w:val="left"/>
      <w:spacing w:before="100" w:beforeAutospacing="1" w:after="100" w:afterAutospacing="1"/>
      <w:widowControl/>
    </w:pPr>
    <w:rPr>
      <w:rFonts w:ascii="宋体" w:hAnsi="宋体"/>
      <w:sz w:val="24"/>
    </w:rPr>
  </w:style>
  <w:style w:type="paragraph" w:styleId="1374" w:customStyle="1">
    <w:name w:val="论文正文"/>
    <w:basedOn w:val="1045"/>
    <w:uiPriority w:val="0"/>
    <w:qFormat/>
    <w:pPr>
      <w:ind w:left="0" w:firstLine="200"/>
      <w:jc w:val="left"/>
      <w:spacing w:line="360" w:lineRule="auto"/>
    </w:pPr>
    <w:rPr>
      <w:rFonts w:ascii="Times New Roman" w:hAnsi="Times New Roman"/>
      <w:sz w:val="28"/>
      <w:szCs w:val="24"/>
    </w:rPr>
  </w:style>
  <w:style w:type="paragraph" w:styleId="137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76" w:customStyle="1">
    <w:name w:val="a0"/>
    <w:basedOn w:val="772"/>
    <w:uiPriority w:val="0"/>
    <w:qFormat/>
    <w:pPr>
      <w:spacing w:before="100" w:beforeAutospacing="1" w:after="100" w:afterAutospacing="1"/>
      <w:widowControl/>
    </w:pPr>
    <w:rPr>
      <w:rFonts w:ascii="宋体" w:hAnsi="宋体" w:cs="宋体"/>
      <w:sz w:val="24"/>
      <w:szCs w:val="24"/>
    </w:rPr>
  </w:style>
  <w:style w:type="paragraph" w:styleId="1377" w:customStyle="1">
    <w:name w:val="xl2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78" w:customStyle="1">
    <w:name w:val="丁华标题3"/>
    <w:basedOn w:val="1203"/>
    <w:next w:val="1188"/>
    <w:uiPriority w:val="0"/>
    <w:qFormat/>
    <w:pPr>
      <w:numPr>
        <w:ilvl w:val="2"/>
        <w:numId w:val="1"/>
      </w:numPr>
      <w:ind w:left="1980" w:hanging="420"/>
      <w:spacing w:after="0"/>
      <w:tabs>
        <w:tab w:val="left" w:pos="1470" w:leader="none"/>
        <w:tab w:val="left" w:pos="1980" w:leader="none"/>
      </w:tabs>
      <w:outlineLvl w:val="2"/>
    </w:pPr>
    <w:rPr>
      <w:sz w:val="24"/>
    </w:rPr>
  </w:style>
  <w:style w:type="paragraph" w:styleId="1379" w:customStyle="1">
    <w:name w:val="xl32"/>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80" w:customStyle="1">
    <w:name w:val="Char Char Char Char Char Char Char Char Char"/>
    <w:basedOn w:val="772"/>
    <w:uiPriority w:val="0"/>
    <w:qFormat/>
    <w:pPr>
      <w:ind w:left="200" w:hanging="200"/>
      <w:tabs>
        <w:tab w:val="left" w:pos="360" w:leader="none"/>
      </w:tabs>
    </w:pPr>
    <w:rPr>
      <w:sz w:val="24"/>
      <w:szCs w:val="24"/>
    </w:rPr>
  </w:style>
  <w:style w:type="paragraph" w:styleId="1381" w:customStyle="1">
    <w:name w:val=" Char Char Char Char Char Char Char Char Char Char Char Char Char Char"/>
    <w:basedOn w:val="772"/>
    <w:uiPriority w:val="0"/>
    <w:qFormat/>
    <w:rPr>
      <w:rFonts w:ascii="Tahoma" w:hAnsi="Tahoma"/>
      <w:sz w:val="24"/>
    </w:rPr>
  </w:style>
  <w:style w:type="paragraph" w:styleId="1382" w:customStyle="1">
    <w:name w:val="正文1"/>
    <w:basedOn w:val="772"/>
    <w:next w:val="772"/>
    <w:uiPriority w:val="0"/>
    <w:qFormat/>
    <w:pPr>
      <w:ind w:firstLine="510"/>
      <w:spacing w:before="156" w:line="360" w:lineRule="auto"/>
    </w:pPr>
    <w:rPr>
      <w:sz w:val="24"/>
    </w:rPr>
  </w:style>
  <w:style w:type="paragraph" w:styleId="1383" w:customStyle="1">
    <w:name w:val="font6"/>
    <w:basedOn w:val="772"/>
    <w:uiPriority w:val="0"/>
    <w:qFormat/>
    <w:pPr>
      <w:jc w:val="left"/>
      <w:spacing w:before="100" w:beforeAutospacing="1" w:after="100" w:afterAutospacing="1"/>
      <w:widowControl/>
    </w:pPr>
    <w:rPr>
      <w:rFonts w:ascii="宋体" w:hAnsi="宋体" w:cs="宋体"/>
      <w:b/>
      <w:bCs/>
      <w:sz w:val="20"/>
    </w:rPr>
  </w:style>
  <w:style w:type="table" w:styleId="1384" w:customStyle="1">
    <w:name w:val="Table Normal"/>
    <w:uiPriority w:val="0"/>
    <w:unhideWhenUsed/>
    <w:qFormat/>
    <w:rPr>
      <w:lang w:val="en-US" w:eastAsia="zh-CN" w:bidi="ar-SA"/>
    </w:rPr>
    <w:tblPr/>
  </w:style>
  <w:style w:type="paragraph" w:styleId="1385" w:customStyle="1">
    <w:name w:val="_Style 1"/>
    <w:basedOn w:val="772"/>
    <w:uiPriority w:val="34"/>
    <w:qFormat/>
    <w:pPr>
      <w:contextualSpacing/>
      <w:ind w:left="720"/>
    </w:pPr>
  </w:style>
  <w:style w:type="paragraph" w:styleId="1386" w:customStyle="1">
    <w:name w:val="null3"/>
    <w:uiPriority w:val="0"/>
    <w:qFormat/>
    <w:rPr>
      <w:rFonts w:hint="eastAsia" w:ascii="Calibri" w:hAnsi="Calibri" w:eastAsia="宋体" w:cs="Times New Roman"/>
      <w:lang w:val="en-US" w:eastAsia="en-US" w:bidi="ar-SA"/>
    </w:rPr>
  </w:style>
  <w:style w:type="paragraph" w:styleId="1387" w:customStyle="1">
    <w:name w:val="引言二级条标题"/>
    <w:basedOn w:val="1388"/>
    <w:next w:val="1198"/>
    <w:uiPriority w:val="99"/>
    <w:qFormat/>
    <w:pPr>
      <w:tabs>
        <w:tab w:val="left" w:pos="1140" w:leader="none"/>
      </w:tabs>
    </w:pPr>
  </w:style>
  <w:style w:type="paragraph" w:styleId="1388" w:customStyle="1">
    <w:name w:val="引言一级条标题"/>
    <w:basedOn w:val="772"/>
    <w:next w:val="1198"/>
    <w:uiPriority w:val="99"/>
    <w:qFormat/>
    <w:pPr>
      <w:widowControl/>
      <w:tabs>
        <w:tab w:val="left" w:pos="1140" w:leader="none"/>
      </w:tabs>
    </w:pPr>
    <w:rPr>
      <w:rFonts w:eastAsia="黑体"/>
      <w:b/>
      <w:bCs/>
      <w:szCs w:val="21"/>
    </w:rPr>
  </w:style>
  <w:style w:type="paragraph" w:styleId="1389" w:customStyle="1">
    <w:name w:val="_Style 30"/>
    <w:basedOn w:val="772"/>
    <w:next w:val="1322"/>
    <w:uiPriority w:val="34"/>
    <w:qFormat/>
    <w:pPr>
      <w:ind w:firstLine="420"/>
    </w:pPr>
    <w:rPr>
      <w:rFonts w:ascii="Calibri" w:hAnsi="Calibri"/>
      <w:szCs w:val="22"/>
    </w:rPr>
  </w:style>
  <w:style w:type="paragraph" w:styleId="1390" w:customStyle="1">
    <w:name w:val="正文 A"/>
    <w:uiPriority w:val="0"/>
    <w:qFormat/>
    <w:pPr>
      <w:framePr w:wrap="around" w:vAnchor="margin" w:hAnchor="text" w:y="1"/>
    </w:pPr>
    <w:rPr>
      <w:rFonts w:hint="default" w:ascii="Arial Unicode MS" w:hAnsi="Arial Unicode MS" w:eastAsia="Arial Unicode MS" w:cs="Arial Unicode MS"/>
      <w:color w:val="000000"/>
      <w:sz w:val="22"/>
      <w:szCs w:val="22"/>
      <w:lang w:val="zh-TW" w:eastAsia="zh-TW" w:bidi="ar-SA"/>
    </w:rPr>
  </w:style>
  <w:style w:type="paragraph" w:styleId="1391" w:customStyle="1">
    <w:name w:val="正文-LHM"/>
    <w:basedOn w:val="772"/>
    <w:uiPriority w:val="0"/>
    <w:qFormat/>
    <w:pPr>
      <w:spacing w:line="340" w:lineRule="exact"/>
    </w:pPr>
    <w:rPr>
      <w:rFonts w:hint="eastAsia" w:ascii="思源黑体 CN Normal" w:hAnsi="思源黑体 CN Normal" w:eastAsia="思源黑体 CN Normal" w:cs="思源黑体 CN Normal"/>
      <w:sz w:val="18"/>
      <w:szCs w:val="16"/>
    </w:rPr>
  </w:style>
  <w:style w:type="paragraph" w:styleId="1392" w:customStyle="1">
    <w:name w:val="修订"/>
    <w:uiPriority w:val="99"/>
    <w:unhideWhenUsed/>
    <w:qFormat/>
    <w:rPr>
      <w:rFonts w:hint="default" w:ascii="Calibri" w:hAnsi="Calibri" w:eastAsia="Calibri" w:cs="宋体"/>
      <w:lang w:val="zh-CN" w:eastAsia="zh-CN" w:bidi="ar-SA"/>
    </w:rPr>
  </w:style>
  <w:style w:type="character" w:styleId="1393" w:customStyle="1">
    <w:name w:val="font71"/>
    <w:basedOn w:val="782"/>
    <w:uiPriority w:val="0"/>
    <w:qFormat/>
    <w:rPr>
      <w:rFonts w:hint="eastAsia" w:ascii="宋体" w:hAnsi="宋体" w:eastAsia="宋体" w:cs="宋体"/>
      <w:color w:val="000000"/>
      <w:sz w:val="24"/>
      <w:szCs w:val="24"/>
      <w:u w:val="none"/>
    </w:rPr>
  </w:style>
  <w:style w:type="character" w:styleId="1394" w:customStyle="1">
    <w:name w:val="font61"/>
    <w:basedOn w:val="782"/>
    <w:uiPriority w:val="0"/>
    <w:qFormat/>
    <w:rPr>
      <w:rFonts w:hint="default" w:ascii="仿宋_GB2312" w:eastAsia="仿宋_GB2312" w:cs="仿宋_GB2312"/>
      <w:color w:val="000000"/>
      <w:sz w:val="24"/>
      <w:szCs w:val="24"/>
      <w:u w:val="none"/>
    </w:rPr>
  </w:style>
  <w:style w:type="character" w:styleId="1395" w:customStyle="1">
    <w:name w:val="font51"/>
    <w:basedOn w:val="782"/>
    <w:uiPriority w:val="0"/>
    <w:qFormat/>
    <w:rPr>
      <w:rFonts w:hint="default" w:ascii="Times New Roman" w:hAnsi="Times New Roman" w:cs="Times New Roman"/>
      <w:color w:val="000000"/>
      <w:sz w:val="24"/>
      <w:szCs w:val="24"/>
      <w:u w:val="none"/>
    </w:rPr>
  </w:style>
  <w:style w:type="character" w:styleId="1396" w:customStyle="1">
    <w:name w:val="font41"/>
    <w:basedOn w:val="782"/>
    <w:uiPriority w:val="0"/>
    <w:qFormat/>
    <w:rPr>
      <w:rFonts w:hint="eastAsia" w:ascii="宋体" w:hAnsi="宋体" w:eastAsia="宋体" w:cs="宋体"/>
      <w:color w:val="000000"/>
      <w:sz w:val="24"/>
      <w:szCs w:val="24"/>
      <w:u w:val="none"/>
    </w:rPr>
  </w:style>
  <w:style w:type="numbering" w:styleId="13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dc:creator>
  <cp:lastModifiedBy>林林</cp:lastModifiedBy>
  <cp:revision>5</cp:revision>
  <dcterms:created xsi:type="dcterms:W3CDTF">2017-09-05T04:07:00Z</dcterms:created>
  <dcterms:modified xsi:type="dcterms:W3CDTF">2025-12-09T07:25:48Z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eyJoZGlkIjoiMDE3YzRmYjhlMzg2NzM3Zjk4Nzg1MzQyZWQ2OTI5OTMiLCJ1c2VySWQiOiI0MTUwMjIxOTIifQ==</vt:lpwstr>
  </property>
  <property fmtid="{D5CDD505-2E9C-101B-9397-08002B2CF9AE}" pid="3" name="KSOProductBuildVer">
    <vt:lpwstr>2052-12.1.0.24034</vt:lpwstr>
  </property>
  <property fmtid="{D5CDD505-2E9C-101B-9397-08002B2CF9AE}" pid="4" name="ICV">
    <vt:lpwstr>DEAD9C177EB74D74A01E0012FA431FC4_12</vt:lpwstr>
  </property>
</Properties>
</file>